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Projeto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de Lei do Legislativo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n° </w:t>
      </w:r>
      <w:r>
        <w:rPr>
          <w:rFonts w:cs="Arial" w:ascii="Arial" w:hAnsi="Arial"/>
          <w:b/>
        </w:rPr>
        <w:t>20</w:t>
      </w:r>
      <w:r>
        <w:rPr>
          <w:rFonts w:cs="Arial" w:ascii="Arial" w:hAnsi="Arial"/>
          <w:b/>
        </w:rPr>
        <w:t xml:space="preserve"> /2026</w:t>
      </w:r>
    </w:p>
    <w:p>
      <w:pPr>
        <w:pStyle w:val="Normal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4500"/>
        <w:jc w:val="both"/>
        <w:rPr>
          <w:rFonts w:ascii="Arial" w:hAnsi="Arial" w:cs="Arial"/>
        </w:rPr>
      </w:pPr>
      <w:r>
        <w:rPr>
          <w:rFonts w:cs="Arial" w:ascii="Arial" w:hAnsi="Arial"/>
        </w:rPr>
        <w:t>Institui a Lei da “Ficha Limpa da Infância e Adolescência” no âmbito do Município de Registro/SP e dá outras providências.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 Câmara Municipal de Registro/SP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1º Fica vedado às pessoas condenadas, com trânsito em julgado, por crimes contra a dignidade sexual de crianças e adolescentes, nos termos da legislação penal vigente, no âmbito da Administração Pública Direta e Indireta do Município de Registro/SP, inclusive autarquias, fundações, empresas públicas, organizações sociais, entidades conveniadas e demais instituições que mantenham vínculo com o Poder Público Municipal: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 – participar de concursos públicos;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 – exercer cargos públicos, empregos públicos, cargos em comissão ou funções de confiança;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III – serem contratadas temporariamente ou por meio de terceirização para prestação de serviços à Administração Pública Municipal;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IV – participar de conselhos municipais, colegiados, comissões ou quaisquer instâncias deliberativas, inclusive de participação social.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§1º A vedação prevista nesta Lei aplica-se também às entidades privadas que celebrem convênios, termos de colaboração, termos de fomento, contratos de gestão ou instrumentos congêneres com o Município de Registro/SP.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§2º O disposto neste artigo alcança, no que couber, representantes indicados pelo Município para atuação em órgãos, conselhos ou instâncias de âmbito regional, estadual ou interfederativo.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§3º Para fins de cumprimento desta Lei, poderá ser exigida a apresentação de certidão de antecedentes criminais, observada a legislação vigente e a proteção de dados pessoais.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2º A vedação prevista nesta Lei perdurará enquanto subsistirem os efeitos da condenação penal, observados os princípios constitucionais da legalidade, moralidade administrativa e proteção integral à criança e ao adolescente.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3º O disposto nesta Lei não constitui sanção penal adicional, caracterizando-se como requisito de idoneidade moral e ética para o exercício de funções públicas ou manutenção de vínculo jurídico com a Administração Pública Municipal.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4º O Poder Executivo poderá regulamentar esta Lei, especialmente quanto: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 – aos mecanismos de verificação de antecedentes;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 – à exigência de certidões criminais;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III – à observância da Lei Geral de Proteção de Dados.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5º Esta Lei passa a ser denominada: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  <w:color w:val="000000"/>
        </w:rPr>
        <w:t>Lei da Ficha Limpa da Infância e Adolescência”.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6º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Plenário “Vereador Daniel das Neves”, </w:t>
      </w:r>
      <w:r>
        <w:rPr>
          <w:rFonts w:cs="Arial" w:ascii="Arial" w:hAnsi="Arial"/>
          <w:bCs/>
        </w:rPr>
        <w:t>28</w:t>
      </w:r>
      <w:r>
        <w:rPr>
          <w:rFonts w:cs="Arial" w:ascii="Arial" w:hAnsi="Arial"/>
          <w:bCs/>
        </w:rPr>
        <w:t xml:space="preserve"> de </w:t>
      </w:r>
      <w:r>
        <w:rPr>
          <w:rFonts w:cs="Arial" w:ascii="Arial" w:hAnsi="Arial"/>
          <w:bCs/>
        </w:rPr>
        <w:t>maio</w:t>
      </w:r>
      <w:r>
        <w:rPr>
          <w:rFonts w:cs="Arial" w:ascii="Arial" w:hAnsi="Arial"/>
          <w:bCs/>
        </w:rPr>
        <w:t xml:space="preserve"> de </w:t>
      </w:r>
      <w:r>
        <w:rPr>
          <w:rFonts w:cs="Arial" w:ascii="Arial" w:hAnsi="Arial"/>
          <w:bCs/>
        </w:rPr>
        <w:t>2026</w:t>
      </w:r>
      <w:r>
        <w:rPr>
          <w:rFonts w:cs="Arial" w:ascii="Arial" w:hAnsi="Arial"/>
          <w:bCs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Jefferson Pécori Viana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Vereador</w:t>
      </w:r>
    </w:p>
    <w:p>
      <w:pPr>
        <w:pStyle w:val="Normal"/>
        <w:jc w:val="center"/>
        <w:rPr>
          <w:rFonts w:ascii="Arial" w:hAnsi="Arial" w:eastAsia="Arial" w:cs="Arial"/>
          <w:b/>
        </w:rPr>
      </w:pPr>
      <w:r>
        <w:rPr>
          <w:rFonts w:cs="Arial" w:ascii="Arial" w:hAnsi="Arial"/>
          <w:b/>
          <w:color w:val="000000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PROTOCOLO N° </w:t>
      </w:r>
      <w:r>
        <w:rPr>
          <w:rFonts w:eastAsia="Arial" w:cs="Arial" w:ascii="Arial" w:hAnsi="Arial"/>
          <w:b/>
        </w:rPr>
        <w:t>2215</w:t>
      </w:r>
      <w:r>
        <w:rPr>
          <w:rFonts w:eastAsia="Arial" w:cs="Arial" w:ascii="Arial" w:hAnsi="Arial"/>
          <w:b/>
        </w:rPr>
        <w:t xml:space="preserve"> /2026</w:t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</w:rPr>
      </w:pPr>
      <w:r>
        <w:rPr>
          <w:rFonts w:eastAsia="Arial" w:cs="Arial" w:ascii="Arial" w:hAnsi="Arial"/>
          <w:b/>
          <w:caps/>
        </w:rPr>
      </w:r>
      <w:r>
        <w:br w:type="page"/>
      </w:r>
    </w:p>
    <w:p>
      <w:pPr>
        <w:pStyle w:val="Normal"/>
        <w:jc w:val="center"/>
        <w:rPr>
          <w:rFonts w:ascii="Arial" w:hAnsi="Arial" w:eastAsia="Arial" w:cs="Arial"/>
          <w:b/>
          <w:caps/>
        </w:rPr>
      </w:pPr>
      <w:r>
        <w:rPr>
          <w:rFonts w:eastAsia="Arial" w:cs="Arial" w:ascii="Arial" w:hAnsi="Arial"/>
          <w:b/>
          <w:caps/>
        </w:rPr>
        <w:t>Justificativa</w:t>
      </w:r>
    </w:p>
    <w:p>
      <w:pPr>
        <w:pStyle w:val="Normal"/>
        <w:jc w:val="center"/>
        <w:rPr>
          <w:rFonts w:ascii="Arial" w:hAnsi="Arial" w:eastAsia="Arial" w:cs="Arial"/>
          <w:b/>
          <w:caps/>
        </w:rPr>
      </w:pPr>
      <w:r>
        <w:rPr>
          <w:rFonts w:eastAsia="Arial"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 presente Projeto de Lei institui, no âmbito do Município de Registro/SP, a “Lei da Ficha Limpa da Infância e Adolescência”, estabelecendo critérios de idoneidade moral para o exercício de funções públicas e vínculos com a Administração Pública Municipal, com foco na proteção integral de crianças e adolescentes.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 proposta encontra fundamento no artigo 37 da Constituição Federal, especialmente no princípio da moralidade administrativa, bem como no artigo 227, que consagra o dever prioritário do Estado de assegurar à criança e ao adolescente proteção integral contra toda forma de violência.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 iniciativa inspira-se nos princípios consagrados pela Lei da Ficha Limpa, adaptando-os à realidade da Administração Pública Municipal, com foco específico na prevenção de riscos institucionais relacionados a crimes de elevada gravidade social.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Diferentemente de propostas genéricas, o presente projeto adota recorte normativo específico voltado aos crimes contra a dignidade sexual de crianças e adolescentes, conferindo maior efetividade à proteção desse público, em consonância com o Estatuto da Criança e do Adolescente.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 medida possui natureza preventiva e administrativa, não configurando sanção penal adicional, mas sim requisito legítimo de idoneidade moral, conforme entendimento consolidado do Supremo Tribunal Federal acerca da constitucionalidade de restrições dessa natureza no acesso a funções públicas.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Destaca-se, ainda, que a proposta amplia o alcance da norma ao abranger entidades que mantenham vínculo com o Poder Público Municipal, como organizações sociais e entidades conveniadas, evitando lacunas regulatórias e garantindo coerência sistêmica na proteção institucional.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Diante do exposto, o projeto revela-se juridicamente adequado, constitucional e de elevado interesse público, representando importante avanço na proteção da infância e na promoção da moralidade administrativa no Município de Registro/SP.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6985" distB="6985" distL="635" distR="0" simplePos="0" relativeHeight="13" behindDoc="1" locked="0" layoutInCell="1" allowOverlap="1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6985" distB="6985" distL="635" distR="0" simplePos="0" relativeHeight="13" behindDoc="1" locked="0" layoutInCell="1" allowOverlap="1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LibreOffice/26.2.1.2$Windows_X86_64 LibreOffice_project/620$Build-2</Application>
  <AppVersion>15.0000</AppVersion>
  <Pages>3</Pages>
  <Words>708</Words>
  <Characters>4261</Characters>
  <CharactersWithSpaces>4937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2026-05-27T00:13:00Z</dcterms:created>
  <dc:creator>4RSistemas</dc:creator>
  <dc:description/>
  <dc:language>pt-BR</dc:language>
  <cp:lastModifiedBy/>
  <cp:lastPrinted>2025-01-28T20:23:00Z</cp:lastPrinted>
  <dcterms:modified xsi:type="dcterms:W3CDTF">2026-05-28T13:25:34Z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