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Projeto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 xml:space="preserve">de Resolução n° </w:t>
      </w:r>
      <w:r>
        <w:rPr>
          <w:rFonts w:cs="Arial" w:ascii="Arial" w:hAnsi="Arial"/>
          <w:b/>
          <w:sz w:val="22"/>
          <w:szCs w:val="22"/>
        </w:rPr>
        <w:t>11 /</w:t>
      </w:r>
      <w:r>
        <w:rPr>
          <w:rFonts w:cs="Arial" w:ascii="Arial" w:hAnsi="Arial"/>
          <w:b/>
          <w:sz w:val="22"/>
          <w:szCs w:val="22"/>
        </w:rPr>
        <w:t>2025</w:t>
      </w:r>
    </w:p>
    <w:p>
      <w:pPr>
        <w:pStyle w:val="Normal"/>
        <w:ind w:start="378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ind w:start="378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ind w:start="378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ind w:start="4820"/>
        <w:jc w:val="both"/>
        <w:rPr>
          <w:sz w:val="22"/>
          <w:szCs w:val="22"/>
        </w:rPr>
      </w:pPr>
      <w:r>
        <w:rPr>
          <w:rFonts w:cs="Arial" w:ascii="Arial" w:hAnsi="Arial"/>
          <w:color w:val="000000"/>
          <w:spacing w:val="10"/>
          <w:sz w:val="22"/>
          <w:szCs w:val="22"/>
        </w:rPr>
        <w:t>Dispõe sobre a criação da Procuradoria Especial de Direitos Humanos, no âmbito da Câmara Municipal de Registro e dá outras providências</w:t>
      </w:r>
      <w:r>
        <w:rPr>
          <w:rFonts w:cs="Arial" w:ascii="Arial" w:hAnsi="Arial"/>
          <w:color w:val="000000"/>
          <w:spacing w:val="-2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40"/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 Câmara Municipal de Registro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40"/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spacing w:lineRule="auto" w:line="240"/>
        <w:ind w:end="2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Art. 1º Fica criada no âmbito da Câmara Municipal de Registro/SP a Procuradoria Especial de Direitos Humanos, composta por Vereadores(as), com a atribuição de zelar pela promoção, defesa e fiscalização dos Direitos Humanos no Município de Registro/SP.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widowControl/>
        <w:suppressAutoHyphens w:val="true"/>
        <w:bidi w:val="0"/>
        <w:spacing w:lineRule="auto" w:line="240" w:before="0" w:after="120"/>
        <w:ind w:hanging="0" w:start="0" w:end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§ 1º   A Procuradoria Especial de Direitos Humanos não se vincula à Procuradoria Jurídica da Câmara Municipal.</w:t>
      </w:r>
    </w:p>
    <w:p>
      <w:pPr>
        <w:pStyle w:val="BodyText"/>
        <w:widowControl/>
        <w:suppressAutoHyphens w:val="true"/>
        <w:bidi w:val="0"/>
        <w:spacing w:lineRule="auto" w:line="240" w:before="0" w:after="120"/>
        <w:ind w:hanging="0" w:start="0" w:end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§ 2º  A Procuradoria Especial de Direitos Humanos contará com o suporte técnico da estrutura da Câmara Municipal de Registro/SP.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Art. 2º  A Procuradoria Especial de Direitos Humanos será constituída de 01 (um) Procurador(a) Especial de Direitos Humanos e de 02 (dois) Procuradores(as) Adjuntos(as), nomeados pelo Presidente da Câmara Municipal, a cada 02 (dois) anos, no início da legislatura.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widowControl/>
        <w:suppressAutoHyphens w:val="true"/>
        <w:bidi w:val="0"/>
        <w:spacing w:lineRule="auto" w:line="240"/>
        <w:ind w:hanging="0" w:start="0" w:end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§ 1º   Os(As) Procuradores(as) Adjuntos(as) terão a designação de Primeiro(a) e Segundo(a), e </w:t>
      </w:r>
      <w:r>
        <w:rPr>
          <w:rFonts w:cs="Arial" w:ascii="Arial" w:hAnsi="Arial"/>
          <w:sz w:val="22"/>
          <w:szCs w:val="22"/>
          <w:lang w:eastAsia="zh-CN"/>
        </w:rPr>
        <w:t>nessa</w:t>
      </w:r>
      <w:r>
        <w:rPr>
          <w:rFonts w:cs="Arial" w:ascii="Arial" w:hAnsi="Arial"/>
          <w:sz w:val="22"/>
          <w:szCs w:val="22"/>
        </w:rPr>
        <w:t xml:space="preserve"> ordem substituirão o(a) Procurador(a) Especial em seus impedimentos e colaborarão no cumprimento das atribuições da Procuradoria.</w:t>
      </w:r>
    </w:p>
    <w:p>
      <w:pPr>
        <w:pStyle w:val="BodyText"/>
        <w:widowControl/>
        <w:suppressAutoHyphens w:val="true"/>
        <w:bidi w:val="0"/>
        <w:spacing w:lineRule="auto" w:line="240"/>
        <w:ind w:hanging="0" w:start="0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widowControl/>
        <w:suppressAutoHyphens w:val="true"/>
        <w:bidi w:val="0"/>
        <w:spacing w:lineRule="auto" w:line="240"/>
        <w:ind w:hanging="0" w:start="0" w:end="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§ 2º   Os ma</w:t>
      </w:r>
      <w:r>
        <w:rPr>
          <w:rFonts w:cs="Arial" w:ascii="Arial" w:hAnsi="Arial"/>
          <w:sz w:val="22"/>
          <w:szCs w:val="22"/>
          <w:lang w:eastAsia="zh-CN"/>
        </w:rPr>
        <w:t>ndatos acompanharão a periodicidade da eleição da Mesa Diretora.</w:t>
      </w:r>
    </w:p>
    <w:p>
      <w:pPr>
        <w:pStyle w:val="BodyText"/>
        <w:widowControl/>
        <w:suppressAutoHyphens w:val="true"/>
        <w:bidi w:val="0"/>
        <w:spacing w:lineRule="auto" w:line="240"/>
        <w:ind w:hanging="0" w:start="0" w:end="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</w:r>
    </w:p>
    <w:p>
      <w:pPr>
        <w:pStyle w:val="BodyText"/>
        <w:widowControl/>
        <w:suppressAutoHyphens w:val="true"/>
        <w:bidi w:val="0"/>
        <w:spacing w:lineRule="auto" w:line="240"/>
        <w:ind w:hanging="0" w:start="0" w:end="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§ 3º   A definição da composição da Procuradoria Especial de Direitos Humanos deverá ser feita por consenso dentre os(as) Vereadores(as) da legislatura ou por votação entre os(as) Vereadores(as), no início de cada legislatura.</w:t>
      </w:r>
    </w:p>
    <w:p>
      <w:pPr>
        <w:pStyle w:val="BodyText"/>
        <w:widowControl/>
        <w:suppressAutoHyphens w:val="true"/>
        <w:bidi w:val="0"/>
        <w:spacing w:lineRule="auto" w:line="240"/>
        <w:ind w:hanging="0" w:start="0" w:end="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</w:r>
    </w:p>
    <w:p>
      <w:pPr>
        <w:pStyle w:val="BodyText"/>
        <w:widowControl/>
        <w:suppressAutoHyphens w:val="true"/>
        <w:bidi w:val="0"/>
        <w:spacing w:lineRule="auto" w:line="240"/>
        <w:ind w:hanging="0" w:start="0" w:end="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cs="Arial" w:ascii="Arial" w:hAnsi="Arial"/>
          <w:sz w:val="22"/>
          <w:szCs w:val="22"/>
          <w:lang w:eastAsia="zh-CN"/>
        </w:rPr>
        <w:t>§ 4º   Não havendo número suficiente de Vereadores(as) para os cargos de procuradores(as), os cargos e funções ficarão acumulados, adequando-se ao número de parlamentares da Casa.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Art. 3º   Compete à Procuradoria Especial de Direitos Humanos: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uto" w:line="240"/>
        <w:ind w:start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– receber, examinar e encaminhar aos órgãos competentes denúncias de violência, violação de direitos e discriminação contra qualquer grupo social ou indivíduo, no âmbito municipal.</w:t>
      </w:r>
    </w:p>
    <w:p>
      <w:pPr>
        <w:pStyle w:val="BodyText"/>
        <w:widowControl/>
        <w:suppressAutoHyphens w:val="true"/>
        <w:bidi w:val="0"/>
        <w:spacing w:lineRule="auto" w:line="240"/>
        <w:ind w:start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II – </w:t>
      </w:r>
      <w:r>
        <w:rPr>
          <w:rFonts w:cs="Arial" w:ascii="Arial" w:hAnsi="Arial"/>
          <w:sz w:val="22"/>
          <w:szCs w:val="22"/>
          <w:lang w:eastAsia="zh-CN"/>
        </w:rPr>
        <w:t>fiscalizar</w:t>
      </w:r>
      <w:r>
        <w:rPr>
          <w:rFonts w:cs="Arial" w:ascii="Arial" w:hAnsi="Arial"/>
          <w:sz w:val="22"/>
          <w:szCs w:val="22"/>
        </w:rPr>
        <w:t xml:space="preserve"> e acompanhar a execução de programas do Governo Municipal relacionados às políticas públicas de promoção e defesa dos Direitos Humanos, assim como a implementação de campanhas educativas e antidiscriminatórias e de combate a todas as formas de violência no âmbito municipal.</w:t>
      </w:r>
    </w:p>
    <w:p>
      <w:pPr>
        <w:pStyle w:val="BodyText"/>
        <w:spacing w:lineRule="auto" w:line="240"/>
        <w:ind w:start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III – cooperar com organismos nacionais e internacionais, públicos e privados, voltados à implementação de políticas públicas de Direitos Humanos.</w:t>
      </w:r>
    </w:p>
    <w:p>
      <w:pPr>
        <w:pStyle w:val="BodyText"/>
        <w:spacing w:lineRule="auto" w:line="240"/>
        <w:ind w:start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IV – promover audiências públicas, pesquisas e estudos sobre violência e discriminação, inclusão, participação social e outros temas relevantes sobre a garantia dos Direitos Humanos, inclusive para divulgação pública e fornecimento de subsídio às Comissões da Câmara.</w:t>
      </w:r>
    </w:p>
    <w:p>
      <w:pPr>
        <w:pStyle w:val="BodyText"/>
        <w:spacing w:lineRule="auto" w:line="240"/>
        <w:ind w:start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– promover cursos, seminários, palestras e convenções destinados à formação e conscientização sobre Direitos Humanos.</w:t>
      </w:r>
    </w:p>
    <w:p>
      <w:pPr>
        <w:pStyle w:val="BodyText"/>
        <w:spacing w:lineRule="auto" w:line="240"/>
        <w:ind w:start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VI – organizar e divulgar a legislação relativa aos Direitos Humanos, assim como zelar pelo seu cumprimento.</w:t>
      </w:r>
    </w:p>
    <w:p>
      <w:pPr>
        <w:pStyle w:val="BodyText"/>
        <w:spacing w:lineRule="auto" w:line="240"/>
        <w:ind w:start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VII – acompanhar os debates promovidos pelos Conselhos Municipais afins à área de Direitos Humanos (como Conselhos Tutelares, de Assistência Social, da Pessoa Idosa, etc.).</w:t>
      </w:r>
    </w:p>
    <w:p>
      <w:pPr>
        <w:pStyle w:val="BodyText"/>
        <w:spacing w:lineRule="auto" w:line="240"/>
        <w:ind w:start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VIII – promover a integração entre os movimentos sociais organizados, formais ou não, de defesa dos Direitos Humanos e de combate à violência e a Câmara Municipal.</w:t>
      </w:r>
    </w:p>
    <w:p>
      <w:pPr>
        <w:pStyle w:val="BodyText"/>
        <w:spacing w:lineRule="auto" w:line="240"/>
        <w:ind w:start="708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IX – acompanhar reuniões, debates e agendas promovidas pelos órgãos que atendem e promovem políticas públicas de Direitos Humanos.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Art. 4º   A Procuradoria Especial de Direitos Humanos estará em constante colaboração e cooperação com as Comissões da Câmara Municipal.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Art. 5º   Toda iniciativa provocada ou implementada pela Procuradoria Especial de Direitos Humanos terá ampla divulgação pelo órgão de comunicação da Câmara Municipal.</w:t>
      </w:r>
    </w:p>
    <w:p>
      <w:pPr>
        <w:pStyle w:val="BodyText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spacing w:lineRule="auto" w:line="24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Art. 6º   A presente resolução entra em vigor na data de sua publicação, com a nomeação imediata dos(as) Procuradores(as).</w:t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spacing w:lineRule="auto" w:line="2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Plenário “Vereador Daniel das Neves”, </w:t>
      </w:r>
      <w:r>
        <w:rPr>
          <w:rFonts w:cs="Arial" w:ascii="Arial" w:hAnsi="Arial"/>
          <w:bCs/>
          <w:sz w:val="22"/>
          <w:szCs w:val="22"/>
        </w:rPr>
        <w:t>16</w:t>
      </w:r>
      <w:r>
        <w:rPr>
          <w:rFonts w:cs="Arial" w:ascii="Arial" w:hAnsi="Arial"/>
          <w:bCs/>
          <w:sz w:val="22"/>
          <w:szCs w:val="22"/>
        </w:rPr>
        <w:t xml:space="preserve"> de outubro de 2025.</w:t>
        <w:tab/>
      </w:r>
    </w:p>
    <w:p>
      <w:pPr>
        <w:pStyle w:val="Normal"/>
        <w:spacing w:lineRule="auto" w:line="24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fldChar w:fldCharType="begin"/>
      </w:r>
      <w:r>
        <w:rPr>
          <w:sz w:val="22"/>
          <w:b/>
          <w:szCs w:val="22"/>
          <w:rFonts w:cs="Arial" w:ascii="Arial" w:hAnsi="Arial"/>
          <w:color w:val="000000"/>
        </w:rPr>
        <w:instrText xml:space="preserve"> MERGEFIELD AUTOR01 </w:instrText>
      </w:r>
      <w:r>
        <w:rPr>
          <w:sz w:val="22"/>
          <w:b/>
          <w:szCs w:val="22"/>
          <w:rFonts w:cs="Arial" w:ascii="Arial" w:hAnsi="Arial"/>
          <w:color w:val="000000"/>
        </w:rPr>
        <w:fldChar w:fldCharType="separate"/>
      </w:r>
      <w:r>
        <w:rPr>
          <w:sz w:val="22"/>
          <w:b/>
          <w:szCs w:val="22"/>
          <w:rFonts w:cs="Arial" w:ascii="Arial" w:hAnsi="Arial"/>
          <w:color w:val="000000"/>
        </w:rPr>
        <w:t>Jefferson Pécori Viana</w:t>
      </w:r>
      <w:r>
        <w:rPr>
          <w:sz w:val="22"/>
          <w:b/>
          <w:szCs w:val="22"/>
          <w:rFonts w:cs="Arial" w:ascii="Arial" w:hAnsi="Arial"/>
          <w:color w:val="000000"/>
        </w:rPr>
        <w:fldChar w:fldCharType="end"/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fldChar w:fldCharType="begin"/>
      </w:r>
      <w:r>
        <w:rPr>
          <w:sz w:val="22"/>
          <w:b/>
          <w:szCs w:val="22"/>
          <w:rFonts w:cs="Arial" w:ascii="Arial" w:hAnsi="Arial"/>
          <w:color w:val="000000"/>
        </w:rPr>
        <w:instrText xml:space="preserve"> MERGEFIELD CARGO01 </w:instrText>
      </w:r>
      <w:r>
        <w:rPr>
          <w:sz w:val="22"/>
          <w:b/>
          <w:szCs w:val="22"/>
          <w:rFonts w:cs="Arial" w:ascii="Arial" w:hAnsi="Arial"/>
          <w:color w:val="000000"/>
        </w:rPr>
        <w:fldChar w:fldCharType="separate"/>
      </w:r>
      <w:r>
        <w:rPr>
          <w:sz w:val="22"/>
          <w:b/>
          <w:szCs w:val="22"/>
          <w:rFonts w:cs="Arial" w:ascii="Arial" w:hAnsi="Arial"/>
          <w:color w:val="000000"/>
        </w:rPr>
        <w:t>Vereador</w:t>
      </w:r>
      <w:r>
        <w:rPr>
          <w:sz w:val="22"/>
          <w:b/>
          <w:szCs w:val="22"/>
          <w:rFonts w:cs="Arial" w:ascii="Arial" w:hAnsi="Arial"/>
          <w:color w:val="000000"/>
        </w:rPr>
        <w:fldChar w:fldCharType="end"/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</w:t>
      </w:r>
    </w:p>
    <w:p>
      <w:pPr>
        <w:pStyle w:val="Normal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end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PROTOCOLO N° </w:t>
      </w:r>
      <w:r>
        <w:rPr>
          <w:rFonts w:cs="Arial" w:ascii="Arial" w:hAnsi="Arial"/>
          <w:b/>
          <w:sz w:val="22"/>
          <w:szCs w:val="22"/>
        </w:rPr>
        <w:t xml:space="preserve">3011 / </w:t>
      </w:r>
      <w:r>
        <w:rPr>
          <w:rFonts w:cs="Arial" w:ascii="Arial" w:hAnsi="Arial"/>
          <w:b/>
          <w:sz w:val="22"/>
          <w:szCs w:val="22"/>
        </w:rPr>
        <w:t>2025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JUSTIFICATIVA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 presente Projeto de Resolução visa instituir a Procuradoria Especial de Direitos Humanos no âmbito da Câmara Municipal de Registro, fundamentado na necessidade premente de o Poder Legislativo Municipal atuar de forma mais incisiva na defesa, promoção e fiscalização dos direitos fundamentais, em consonância com os princípios constitucionais.</w:t>
      </w:r>
    </w:p>
    <w:p>
      <w:pPr>
        <w:pStyle w:val="Normal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Constituição Federal estabelece, em seu Art. 1º, que a República Federativa do Brasil se funda, entre outros pilares, na dignidade da pessoa humana e na cidadania. No plano municipal, o Poder Legislativo de Registro, enquanto representante direto da população, tem o dever de ser um canal ativo para acolher as demandas e zelar pela proteção de todos os seus munícipes.</w:t>
      </w:r>
    </w:p>
    <w:p>
      <w:pPr>
        <w:pStyle w:val="Normal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criação desta Procuradoria busca complementar o excelente trabalho já realizado pela Procuradoria Especial da Mulher (instituída pela Resolução n.º 029/2018), dedicando um órgão específico dentro da estrutura da Câmara para uma visão mais universal e abrangente dos Direitos Humanos, com os seguintes objetivos:</w:t>
      </w:r>
    </w:p>
    <w:p>
      <w:pPr>
        <w:pStyle w:val="Normal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Universalização da Proteção: É essencial expandir o foco para a proteção de todos os grupos sociais vulneráveis e o enfrentamento de qualquer forma de discriminação. Isso inclui a defesa dos direitos da criança e do adolescente, da pessoa idosa, das pessoas com deficiência, da população LGBTQIA+, dos povos tradicionais e minorias étnicas, e o combate ao racismo e à intolerância. A Procuradoria Especial de Direitos Humanos atuará como um órgão guarda-chuva que assegura a isonomia e a justiça social para todos os segmentos.</w:t>
      </w:r>
    </w:p>
    <w:p>
      <w:pPr>
        <w:pStyle w:val="Normal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Aprimoramento da Fiscalização e da Gestão de Conflitos: O novo órgão terá o papel de fiscalizar e acompanhar a execução dos programas do Governo Municipal e das políticas públicas de inclusão e igualdade. Atuará, ainda, recebendo, examinando e encaminhando denúncias de violação de direitos e discriminação aos órgãos competentes, servindo como uma ponte essencial entre a sociedade civil e o poder público.</w:t>
      </w:r>
    </w:p>
    <w:p>
      <w:pPr>
        <w:pStyle w:val="Normal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Qualificação do Debate Legislativo: Ao promover audiências públicas, pesquisas e estudos sobre temas de alta relevância social, a Procuradoria fornecerá subsídios técnicos e informações qualificadas às Comissões Permanentes, capacitando a Casa a criar uma legislação mais assertiva, inclusiva e eficaz, que reflita as necessidades de toda a comunidade registrense.</w:t>
      </w:r>
    </w:p>
    <w:p>
      <w:pPr>
        <w:pStyle w:val="Normal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851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Em suma, a criação da Procuradoria Especial de Direitos Humanos é um passo institucional necessário para que a Câmara Municipal de Registro se posicione de forma permanente e prioritária na defesa da dignidade humana, garantindo que o debate e a proteção dos direitos sejam uma função contínua e essencial da Casa.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roman"/>
    <w:pitch w:val="variable"/>
  </w:font>
  <w:font w:name="pic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15240" distB="10795" distL="3175" distR="635" simplePos="0" locked="0" layoutInCell="1" allowOverlap="1" relativeHeight="13" wp14:anchorId="4D05A3D7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 Box 4"/>
                      <wps:cNvSpPr/>
                      <wps:spPr>
                        <a:xfrm>
                          <a:off x="0" y="186840"/>
                          <a:ext cx="953280" cy="19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5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6" name="Text Box 6"/>
                      <wps:cNvSpPr/>
                      <wps:spPr>
                        <a:xfrm>
                          <a:off x="61560" y="474840"/>
                          <a:ext cx="1106280" cy="27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300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2;width:1741;height:438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15240" distB="10795" distL="3175" distR="635" simplePos="0" locked="0" layoutInCell="1" allowOverlap="1" relativeHeight="13" wp14:anchorId="4D05A3D7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Text Box 4"/>
                      <wps:cNvSpPr/>
                      <wps:spPr>
                        <a:xfrm>
                          <a:off x="0" y="186840"/>
                          <a:ext cx="953280" cy="19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11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12" name="Text Box 6"/>
                      <wps:cNvSpPr/>
                      <wps:spPr>
                        <a:xfrm>
                          <a:off x="61560" y="474840"/>
                          <a:ext cx="1106280" cy="27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300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2;width:1741;height:438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hyphenationZone w:val="0"/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start="43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overflowPunct w:val="true"/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pBdr/>
      <w:suppressAutoHyphens w:val="true"/>
      <w:bidi w:val="0"/>
      <w:spacing w:before="0" w:after="0"/>
      <w:ind w:firstLine="709" w:start="4254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pBdr/>
      <w:suppressAutoHyphens w:val="true"/>
      <w:bidi w:val="0"/>
      <w:spacing w:before="0" w:after="0"/>
      <w:jc w:val="start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CDD80-2CC5-4E9C-8BC2-26D2A268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LibreOffice/25.8.1.1$Windows_X86_64 LibreOffice_project/54047653041915e595ad4e45cccea684809c77b5</Application>
  <AppVersion>15.0000</AppVersion>
  <Pages>3</Pages>
  <Words>989</Words>
  <Characters>5733</Characters>
  <CharactersWithSpaces>6714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2025-10-08T18:27:00Z</dcterms:created>
  <dc:creator>4RSistemas</dc:creator>
  <dc:description/>
  <dc:language>pt-BR</dc:language>
  <cp:lastModifiedBy/>
  <cp:lastPrinted>2025-10-16T10:44:25Z</cp:lastPrinted>
  <dcterms:modified xsi:type="dcterms:W3CDTF">2025-10-16T10:44:59Z</dcterms:modified>
  <cp:revision>3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