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  <w:b/>
        </w:rPr>
        <w:t>Projeto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de Lei do Legislativo 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n° 85 /2025</w:t>
      </w:r>
    </w:p>
    <w:p>
      <w:pPr>
        <w:pStyle w:val="Normal"/>
        <w:ind w:left="378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left="378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left="378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left="4500"/>
        <w:jc w:val="both"/>
        <w:rPr>
          <w:rFonts w:ascii="Arial" w:hAnsi="Arial" w:cs="Arial"/>
        </w:rPr>
      </w:pPr>
      <w:r>
        <w:rPr>
          <w:rFonts w:cs="Arial" w:ascii="Arial" w:hAnsi="Arial"/>
        </w:rPr>
        <w:t>Fica estabelecido, o programa de combate à Cristofobia na cidade de Registro.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/>
      </w:pPr>
      <w:r>
        <w:rPr>
          <w:rFonts w:cs="Arial" w:ascii="Arial" w:hAnsi="Arial"/>
          <w:color w:val="000000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Art. 1º</w:t>
      </w:r>
      <w:r>
        <w:rPr>
          <w:rFonts w:cs="Arial" w:ascii="Arial" w:hAnsi="Arial"/>
          <w:color w:val="000000"/>
        </w:rPr>
        <w:t xml:space="preserve">  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Fica instituído, no âmbito do Município de Registro, o Programa de Combate à Cristofobia, com o objetivo de garantir o respeito aos cristãos e de promoção a convivência pacífica entre as diversas crenças e religiões.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Art. 2º  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</w:rPr>
        <w:t>São diretrizes do Programa de Combate à Cristofobia: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  <w:t>realizar ações educativas que promovam o respeito à fé cristã e combate à cristofobia.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  <w:t>estabelecer parcerias com instituições governamentais, não governamentais e religiosas para a execução de ações de conscientização sobre o tema.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  <w:t>promover eventos inter-religiosos que fomentem o diálogo, a tolerância e o respeito entre as diversas crenças.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  <w:t>criar canais de denúncia acessíveis para registros de casos de Cristofobia, garantindo atendimento especializado e acolhimento às vítimas.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  <w:t>implementar medidas de formação continuada para profissionais da educação, saúde, segurança pública e assistência social, visando o respeito às diferentes manifestações religiosas, inclusive de combate a Cristofobia.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 xml:space="preserve">Art. 3º   </w:t>
      </w:r>
      <w:r>
        <w:rPr>
          <w:rFonts w:cs="Arial" w:ascii="Arial" w:hAnsi="Arial"/>
        </w:rPr>
        <w:t>Fica terminantemente proibido o ataque à fé cristã, em suas diferentes formas, nos espaços públicos e privados de Registro, contra os cristãos, configurando assim Cristofobia e sujeitos a penas previstas na lei federal nº 7.716 de 1989.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 xml:space="preserve">Art. 4º   </w:t>
      </w:r>
      <w:r>
        <w:rPr>
          <w:rFonts w:cs="Arial" w:ascii="Arial" w:hAnsi="Arial"/>
        </w:rPr>
        <w:t>Fica terminantemente proibida, campanhas e fantasias desrespeitosas aos cristãos, principalmente promovida pela máquina pública a exemplo de carnaval, festas e atividades culturais, como por exemplo: hostilizar Jesus Cristo em eventos e atividades culturais, fantasias de Freiras com conotação sensual e apelo sexual, sujeitos a penas previstas na lei federal nº 7.716 de 1989.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/>
      </w:pPr>
      <w:r>
        <w:rPr>
          <w:rFonts w:cs="Arial" w:ascii="Arial" w:hAnsi="Arial"/>
          <w:b/>
          <w:bCs/>
          <w:color w:val="000000"/>
        </w:rPr>
        <w:t xml:space="preserve">Art. 5º   </w:t>
      </w:r>
      <w:r>
        <w:rPr>
          <w:rFonts w:cs="Arial" w:ascii="Arial" w:hAnsi="Arial"/>
        </w:rPr>
        <w:t>Fica permanentemente proibido ataques, de forma direta e indireta, implícito ou explícito, de forma verbal, escrita</w:t>
      </w:r>
      <w:r>
        <w:rPr>
          <w:color w:val="070707"/>
          <w:w w:val="105"/>
          <w:sz w:val="23"/>
        </w:rPr>
        <w:t xml:space="preserve"> </w:t>
      </w:r>
      <w:r>
        <w:rPr>
          <w:rFonts w:cs="Arial" w:ascii="Arial" w:hAnsi="Arial"/>
        </w:rPr>
        <w:t>ou física aos símbolos religiosos cristãos no âmbito do município de Registro.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 xml:space="preserve">Art. 6º    </w:t>
      </w:r>
      <w:r>
        <w:rPr>
          <w:rFonts w:cs="Arial" w:ascii="Arial" w:hAnsi="Arial"/>
        </w:rPr>
        <w:t>Será proibida a contratação, por meio de verba pública, no âmbito da prefeitura de Registro, de artistas, pessoas físicas ou jurídicas, que sejam condenados judicialmente por crime de intolerância religiosa, notadamente cristofobia.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Art. 7º</w:t>
      </w:r>
      <w:r>
        <w:rPr>
          <w:rFonts w:cs="Arial" w:ascii="Arial" w:hAnsi="Arial"/>
          <w:color w:val="000000"/>
        </w:rPr>
        <w:t xml:space="preserve">    </w:t>
      </w:r>
      <w:r>
        <w:rPr>
          <w:rFonts w:cs="Arial" w:ascii="Arial" w:hAnsi="Arial"/>
          <w:color w:val="070707"/>
        </w:rPr>
        <w:t>O</w:t>
      </w:r>
      <w:r>
        <w:rPr>
          <w:rFonts w:cs="Arial" w:ascii="Arial" w:hAnsi="Arial"/>
          <w:color w:val="070707"/>
          <w:spacing w:val="-2"/>
        </w:rPr>
        <w:t xml:space="preserve"> </w:t>
      </w:r>
      <w:r>
        <w:rPr>
          <w:rFonts w:cs="Arial" w:ascii="Arial" w:hAnsi="Arial"/>
          <w:color w:val="070707"/>
        </w:rPr>
        <w:t>Poder</w:t>
      </w:r>
      <w:r>
        <w:rPr>
          <w:rFonts w:cs="Arial" w:ascii="Arial" w:hAnsi="Arial"/>
          <w:color w:val="070707"/>
          <w:spacing w:val="4"/>
        </w:rPr>
        <w:t xml:space="preserve"> </w:t>
      </w:r>
      <w:r>
        <w:rPr>
          <w:rFonts w:cs="Arial" w:ascii="Arial" w:hAnsi="Arial"/>
          <w:color w:val="070707"/>
        </w:rPr>
        <w:t>Executivo</w:t>
      </w:r>
      <w:r>
        <w:rPr>
          <w:rFonts w:cs="Arial" w:ascii="Arial" w:hAnsi="Arial"/>
          <w:color w:val="070707"/>
          <w:spacing w:val="16"/>
        </w:rPr>
        <w:t xml:space="preserve"> </w:t>
      </w:r>
      <w:r>
        <w:rPr>
          <w:rFonts w:cs="Arial" w:ascii="Arial" w:hAnsi="Arial"/>
          <w:color w:val="070707"/>
        </w:rPr>
        <w:t>Municipal</w:t>
      </w:r>
      <w:r>
        <w:rPr>
          <w:rFonts w:cs="Arial" w:ascii="Arial" w:hAnsi="Arial"/>
          <w:color w:val="070707"/>
          <w:spacing w:val="12"/>
        </w:rPr>
        <w:t xml:space="preserve"> </w:t>
      </w:r>
      <w:r>
        <w:rPr>
          <w:rFonts w:cs="Arial" w:ascii="Arial" w:hAnsi="Arial"/>
          <w:color w:val="070707"/>
          <w:spacing w:val="-2"/>
        </w:rPr>
        <w:t>poderá: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  <w:t>criar um banco de dados para o registro e acompanhamento de Cristofobia no município.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encomendar estudos e pesquisas para monitorar e analisar a incidência de cristofobia.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  <w:t>desenvolver ações específicas que valorizem o respeito e proteção aos cristãos, com foco na proteção aos evangélicos e outras comunidades religiosas vulneráveis.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  <w:t>caberá ao Poder Municipal a regulamentação desta Lei, e seus modos de operacionalização.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Art. 8º  </w:t>
      </w:r>
      <w:r>
        <w:rPr>
          <w:rFonts w:cs="Arial" w:ascii="Arial" w:hAnsi="Arial"/>
          <w:color w:val="080808"/>
          <w:sz w:val="23"/>
        </w:rPr>
        <w:t xml:space="preserve"> </w:t>
      </w:r>
      <w:r>
        <w:rPr>
          <w:rFonts w:cs="Arial" w:ascii="Arial" w:hAnsi="Arial"/>
          <w:color w:val="080808"/>
          <w:sz w:val="24"/>
        </w:rPr>
        <w:t>Fica instituído que empresas, organizadores de festas, blocos de carnaval, camarotes e pessoas fisicas devidamente identificadas que, comprovadamente, descumprirem qualquer dispositivo desta Lei estarão sujeitas à multa administrativa no valor de três salários mínimos.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 xml:space="preserve">Parágrafo único: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 xml:space="preserve">o valor arrecadado com as multas será destinado exclusivamente para  ações educativas  e  programas  de  conscientização  previstos  nesta  Lei.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em caso de reincidência, o valor da multa será dobrado, sem prejuízo de outras sanções cabíveis.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a aplicação da multa será precedida de ampla defesa e contraditório, garantidos os direitos constitucionais aos autuados.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hanging="360" w:left="720"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/>
      </w:pPr>
      <w:r>
        <w:rPr>
          <w:rFonts w:eastAsia="Times New Roman" w:cs="Arial" w:ascii="Arial" w:hAnsi="Arial"/>
          <w:b/>
          <w:color w:val="080808"/>
          <w:spacing w:val="-2"/>
          <w:kern w:val="0"/>
          <w:sz w:val="23"/>
          <w:szCs w:val="24"/>
          <w:lang w:val="pt-BR" w:eastAsia="zh-CN" w:bidi="ar-SA"/>
        </w:rPr>
        <w:t xml:space="preserve">Art. 9º  </w:t>
      </w:r>
      <w:r>
        <w:rPr>
          <w:rFonts w:cs="Arial" w:ascii="Arial" w:hAnsi="Arial"/>
          <w:color w:val="080808"/>
        </w:rPr>
        <w:t xml:space="preserve"> A Lei e os seus dispositivos, ficará na responsabilidade de ser executada pelo Poder Executivo e fiscalizado pelo Poder Legislativo, assim como outras necessidades suplementares, assim como seu aprimoramento.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80808"/>
          <w:spacing w:val="-2"/>
          <w:sz w:val="23"/>
        </w:rPr>
        <w:t>Art.</w:t>
      </w:r>
      <w:r>
        <w:rPr>
          <w:rFonts w:cs="Arial" w:ascii="Arial" w:hAnsi="Arial"/>
          <w:b/>
          <w:color w:val="080808"/>
          <w:spacing w:val="-13"/>
          <w:sz w:val="23"/>
        </w:rPr>
        <w:t xml:space="preserve"> </w:t>
      </w:r>
      <w:r>
        <w:rPr>
          <w:rFonts w:cs="Arial" w:ascii="Arial" w:hAnsi="Arial"/>
          <w:b/>
          <w:color w:val="080808"/>
          <w:spacing w:val="-2"/>
          <w:sz w:val="23"/>
        </w:rPr>
        <w:t xml:space="preserve">10.   </w:t>
      </w:r>
      <w:r>
        <w:rPr>
          <w:rFonts w:cs="Arial" w:ascii="Arial" w:hAnsi="Arial"/>
          <w:b/>
          <w:color w:val="080808"/>
          <w:spacing w:val="-11"/>
          <w:sz w:val="23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Esta</w:t>
      </w:r>
      <w:r>
        <w:rPr>
          <w:rFonts w:cs="Arial" w:ascii="Arial" w:hAnsi="Arial"/>
          <w:color w:val="080808"/>
          <w:spacing w:val="-3"/>
          <w:sz w:val="24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Lei</w:t>
      </w:r>
      <w:r>
        <w:rPr>
          <w:rFonts w:cs="Arial" w:ascii="Arial" w:hAnsi="Arial"/>
          <w:color w:val="080808"/>
          <w:spacing w:val="-9"/>
          <w:sz w:val="24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entra</w:t>
      </w:r>
      <w:r>
        <w:rPr>
          <w:rFonts w:cs="Arial" w:ascii="Arial" w:hAnsi="Arial"/>
          <w:color w:val="080808"/>
          <w:sz w:val="24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em</w:t>
      </w:r>
      <w:r>
        <w:rPr>
          <w:rFonts w:cs="Arial" w:ascii="Arial" w:hAnsi="Arial"/>
          <w:color w:val="080808"/>
          <w:spacing w:val="1"/>
          <w:sz w:val="24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vigor</w:t>
      </w:r>
      <w:r>
        <w:rPr>
          <w:rFonts w:cs="Arial" w:ascii="Arial" w:hAnsi="Arial"/>
          <w:color w:val="080808"/>
          <w:spacing w:val="-7"/>
          <w:sz w:val="24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na</w:t>
      </w:r>
      <w:r>
        <w:rPr>
          <w:rFonts w:cs="Arial" w:ascii="Arial" w:hAnsi="Arial"/>
          <w:color w:val="080808"/>
          <w:spacing w:val="-13"/>
          <w:sz w:val="24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data</w:t>
      </w:r>
      <w:r>
        <w:rPr>
          <w:rFonts w:cs="Arial" w:ascii="Arial" w:hAnsi="Arial"/>
          <w:color w:val="080808"/>
          <w:spacing w:val="-12"/>
          <w:sz w:val="24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de</w:t>
      </w:r>
      <w:r>
        <w:rPr>
          <w:rFonts w:cs="Arial" w:ascii="Arial" w:hAnsi="Arial"/>
          <w:color w:val="080808"/>
          <w:spacing w:val="-13"/>
          <w:sz w:val="24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sua</w:t>
      </w:r>
      <w:r>
        <w:rPr>
          <w:rFonts w:cs="Arial" w:ascii="Arial" w:hAnsi="Arial"/>
          <w:color w:val="080808"/>
          <w:spacing w:val="-13"/>
          <w:sz w:val="24"/>
        </w:rPr>
        <w:t xml:space="preserve"> </w:t>
      </w:r>
      <w:r>
        <w:rPr>
          <w:rFonts w:cs="Arial" w:ascii="Arial" w:hAnsi="Arial"/>
          <w:color w:val="080808"/>
          <w:spacing w:val="-2"/>
          <w:sz w:val="24"/>
        </w:rPr>
        <w:t>publicação.</w:t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Plenário “Vereador Daniel das Neves”, 14 de Outubro de 2025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color w:val="000000"/>
        </w:rPr>
        <w:t>ADIER PIRES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VEREADOR PL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/>
      </w:pPr>
      <w:r>
        <w:rPr>
          <w:rFonts w:eastAsia="Arial" w:cs="Arial" w:ascii="Arial" w:hAnsi="Arial"/>
          <w:sz w:val="22"/>
          <w:szCs w:val="22"/>
        </w:rPr>
        <w:t>PROTOCOLO N° 2981/ 2025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Corpo1"/>
        <w:tabs>
          <w:tab w:val="clear" w:pos="708"/>
          <w:tab w:val="left" w:pos="4215" w:leader="none"/>
        </w:tabs>
        <w:ind w:hanging="0" w:left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JUSTIFICATIVA</w:t>
      </w:r>
    </w:p>
    <w:p>
      <w:pPr>
        <w:pStyle w:val="Corpo1"/>
        <w:tabs>
          <w:tab w:val="clear" w:pos="708"/>
          <w:tab w:val="left" w:pos="4215" w:leader="none"/>
        </w:tabs>
        <w:ind w:hanging="0" w:lef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O presente projeto de lei busca enfrentar a crescente problemática da CRISTOFOBIA, com enfoque especial na proteção e respeito aos cristãos, que têm sido alvo de ataques e discriminação em diferentes esferas sociais.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Embora o Brasil possua um arcabouço jurídico que protege a liberdade religiosa, ainda há lacunas na promoção de campanhas que incluam todas as crenças de forma equitativa. A proposta visa corrigir essa desigualdade, ampliando as ações de conscientização para abranger os cristãos, assim como já ocorre com outras religiões, promovendo o equilíbrio e a justiça social.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A iniciativa visa reforçar os princípios constitucionais que garantem a liberdade de culto e crença, promovendo a convivência harmoniosa entre as diferentes tradições religiosas presentes em Registro.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FUNDAMENTAÇÃO JURÍDICA</w:t>
      </w:r>
    </w:p>
    <w:p>
      <w:pPr>
        <w:pStyle w:val="BodyText"/>
        <w:spacing w:before="133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O presente projeto de lei encontra respaldo nos princípios fundamentais estabelecidos pela Constituição Federal de 1988, especialmente no urtigo 5", incisos VI e VII1, que asseguram a inviolabilidade da liberdade de consciência e de crença, bem como o livre exercício dos cultos religiosos e a proteção aos locais de culto e suas liturgias. Esses dispositivos consolidam a liberdade religiosa como um direito humano essencial, indispensável à promoção da dignidade da pessoa humana, fundamento do Estado Democrático de Direito, conforme preconizado no artigo 1º, inciso II, da Carta Magna.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/>
      </w:pPr>
      <w:r>
        <w:rPr>
          <w:rFonts w:cs="Arial" w:ascii="Arial" w:hAnsi="Arial"/>
          <w:color w:val="080808"/>
        </w:rPr>
        <w:t>Além disso, o projeto alinha-se ao compromisso do Brasil com os tratados internacionais de direitos humanos, como a Declaração Universal dos Direitos Humanos de 1948 (artigo 18), o Pacto Internacional sobre Direitos Civis e Políticos de 1966 (artigo</w:t>
      </w:r>
      <w:r>
        <w:rPr>
          <w:color w:val="080808"/>
          <w:sz w:val="23"/>
        </w:rPr>
        <w:t xml:space="preserve"> </w:t>
      </w:r>
      <w:r>
        <w:rPr>
          <w:rFonts w:cs="Arial" w:ascii="Arial" w:hAnsi="Arial"/>
          <w:color w:val="080808"/>
        </w:rPr>
        <w:t>18) e a Convenção Americana sobre Direitos Humanos (Pacto de San José da Costa Rica), que reafirmam o direito de todos à liberdade de pensamento, de consciência e de religião, bem como a proteção contra quaisquer formas de discriminação religiosa.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/>
      </w:pPr>
      <w:r>
        <w:rPr>
          <w:rFonts w:cs="Arial" w:ascii="Arial" w:hAnsi="Arial"/>
          <w:color w:val="080808"/>
        </w:rPr>
        <w:t>No plano infraconstitucional, o Código Penal Brasileiro, em seu artigo 208, criminaliza expressamente a prática de atos que desrespeitem ou impeçam manifestações religiosas, prevendo pena para quem vilipendiar publicamente ato ou objeto de culto religioso. De forma complementar, a Lei nº 7.716/1989</w:t>
      </w:r>
      <w:r>
        <w:rPr>
          <w:b/>
          <w:color w:val="080808"/>
          <w:sz w:val="24"/>
        </w:rPr>
        <w:t xml:space="preserve"> </w:t>
      </w:r>
      <w:r>
        <w:rPr>
          <w:rFonts w:cs="Arial" w:ascii="Arial" w:hAnsi="Arial"/>
          <w:color w:val="080808"/>
        </w:rPr>
        <w:t>estabelece sanções para crimes resultantes de preconceito de raça, cor, etnia, religião ou procedência nacional, ampliando o arcabouço legal de proteção às vítimas de intolerância religiosa.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Outro marco relevante é a Lei nº 13.260/2016, que trata do terrorismo, classificando como ato terrorista aqueles que atentam contra a liberdade religiosa e promovem perseguições contra determinados grupos por motivo de fé, crença ou culto. Essas normativas demonstram que a legislação brasileira reconhece a gravidade da intolerância religiosa e busca assegurar mecanismos de proteção e punição para combatê-la.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A proposta legislativa visa, portanto, suprir essas lacunas, promovendo a igualdade de tratamento entre as diversas tradições religiosas e reforçando o compromisso do Poder Público Municipal com o princípio da isonomia, consagrado no artigo 5º, caput, da Constituição Federal, que assegura que todos são iguais perante a lei, sem distinção de qualquer natureza.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Ademais, a iniciativa reforça a competência legislativa municipal para legislar sobre questões de interesse local, conforme previsto no artigo 30, inciso 1, da Constituição Federal, incluindo o desenvolvimento de políticas públicas que promovam a paz social e a convivência harmoniosa entre os diferentes grupos religiosos.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Portanto, a aprovação do presente projeto de lei se fundamenta no dever do Estado de assegurar a liberdade religiosa, combater todas as formas de discriminação, incluindo a cristofobia, e promover o respeito e a convivência pacífica entre as diversas crenças, garantindo assim o pleno exercício dos direitos fundamentais de todos os cidadãos.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  <w:t>Por fim, o projeto reafirma o compromisso do Poder Legislativo Municipal com a dignidade humana, a paz e a pluralidade.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right="22"/>
        <w:jc w:val="both"/>
        <w:rPr>
          <w:rFonts w:ascii="Arial" w:hAnsi="Arial" w:cs="Arial"/>
          <w:color w:val="080808"/>
        </w:rPr>
      </w:pPr>
      <w:r>
        <w:rPr>
          <w:rFonts w:cs="Arial" w:ascii="Arial" w:hAnsi="Arial"/>
          <w:color w:val="080808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Bookman Old Style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swiss"/>
    <w:pitch w:val="variable"/>
  </w:font>
  <w:font w:name="pica">
    <w:charset w:val="00"/>
    <w:family w:val="roman"/>
    <w:pitch w:val="variable"/>
  </w:font>
  <w:font w:name="Arial Narrow"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680"/>
      <w:jc w:val="center"/>
      <w:outlineLvl w:val="1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18" wp14:anchorId="6F26CFD0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8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80600"/>
                          <a:ext cx="110628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1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71;width:1741;height:42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hanging="0" w:lef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lef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680"/>
      <w:jc w:val="center"/>
      <w:outlineLvl w:val="1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18" wp14:anchorId="6F26CFD0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8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80600"/>
                          <a:ext cx="110628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1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71;width:1741;height:42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hanging="0" w:lef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lef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lef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lef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left="288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left="72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left="72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left="432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left="360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left="288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left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overflowPunct w:val="false"/>
      <w:ind w:hanging="283" w:lef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left="4254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lang w:val="pt-PT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ListParagraph">
    <w:name w:val="List Paragraph"/>
    <w:basedOn w:val="Normal"/>
    <w:qFormat/>
    <w:pPr>
      <w:ind w:hanging="346" w:left="2176" w:right="1666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10116</TotalTime>
  <Application>LibreOffice/25.8.1.1$Windows_X86_64 LibreOffice_project/54047653041915e595ad4e45cccea684809c77b5</Application>
  <AppVersion>15.0000</AppVersion>
  <Pages>4</Pages>
  <Words>1200</Words>
  <Characters>6962</Characters>
  <CharactersWithSpaces>8136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2025-01-07T12:44:00Z</dcterms:created>
  <dc:creator>4RSistemas</dc:creator>
  <dc:description/>
  <dc:language>pt-BR</dc:language>
  <cp:lastModifiedBy/>
  <cp:lastPrinted>2025-10-14T15:57:56Z</cp:lastPrinted>
  <dcterms:modified xsi:type="dcterms:W3CDTF">2025-10-14T15:57:59Z</dcterms:modified>
  <cp:revision>28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