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1BE4" w14:textId="69DFE2C4" w:rsidR="001319E6" w:rsidRPr="0089285D" w:rsidRDefault="00000000" w:rsidP="0089285D">
      <w:pPr>
        <w:pStyle w:val="Standard"/>
        <w:spacing w:line="36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Moção de </w:t>
      </w:r>
      <w:r w:rsidR="0089285D">
        <w:rPr>
          <w:rFonts w:ascii="Arial" w:eastAsia="Arial" w:hAnsi="Arial" w:cs="Arial"/>
          <w:b/>
          <w:sz w:val="24"/>
          <w:szCs w:val="24"/>
        </w:rPr>
        <w:t>Apelo</w:t>
      </w:r>
      <w:r>
        <w:rPr>
          <w:rFonts w:ascii="Arial" w:eastAsia="Arial" w:hAnsi="Arial" w:cs="Arial"/>
          <w:b/>
          <w:sz w:val="24"/>
          <w:szCs w:val="24"/>
        </w:rPr>
        <w:t xml:space="preserve"> nº </w:t>
      </w:r>
      <w:r w:rsidR="00527DCF">
        <w:rPr>
          <w:rFonts w:ascii="Arial" w:eastAsia="Arial" w:hAnsi="Arial" w:cs="Arial"/>
          <w:b/>
          <w:sz w:val="24"/>
          <w:szCs w:val="24"/>
        </w:rPr>
        <w:t>126</w:t>
      </w:r>
      <w:r>
        <w:rPr>
          <w:rFonts w:ascii="Arial" w:eastAsia="Arial" w:hAnsi="Arial" w:cs="Arial"/>
          <w:b/>
          <w:sz w:val="24"/>
          <w:szCs w:val="24"/>
        </w:rPr>
        <w:t>/2025</w:t>
      </w:r>
    </w:p>
    <w:p w14:paraId="408CBB64" w14:textId="77777777" w:rsidR="001319E6" w:rsidRDefault="001319E6" w:rsidP="00ED1CA8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/>
      <w:bookmarkEnd w:id="0"/>
    </w:p>
    <w:p w14:paraId="601DF86B" w14:textId="77777777" w:rsidR="00293A04" w:rsidRDefault="00293A04" w:rsidP="00ED1CA8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FDC2B1" w14:textId="42374161" w:rsidR="001319E6" w:rsidRDefault="0089285D" w:rsidP="00ED1CA8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Excelentíssimo Senhor Presidente,</w:t>
      </w:r>
    </w:p>
    <w:p w14:paraId="2F22F890" w14:textId="77777777" w:rsidR="001319E6" w:rsidRDefault="001319E6" w:rsidP="00ED1CA8">
      <w:pPr>
        <w:pStyle w:val="Standard"/>
        <w:spacing w:line="360" w:lineRule="auto"/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5E2C67B" w14:textId="08C0E00B" w:rsidR="0089285D" w:rsidRPr="00432EB1" w:rsidRDefault="00291EE4" w:rsidP="000C764C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E3144">
        <w:rPr>
          <w:rFonts w:ascii="Arial" w:eastAsia="Arial" w:hAnsi="Arial" w:cs="Arial"/>
          <w:color w:val="000000"/>
          <w:sz w:val="24"/>
          <w:szCs w:val="24"/>
        </w:rPr>
        <w:t xml:space="preserve">Apresento à Mesa Diretora, na forma regimental e ouvido este Douto Plenário, a presente </w:t>
      </w:r>
      <w:r w:rsidR="00657055" w:rsidRPr="00657055">
        <w:rPr>
          <w:rFonts w:ascii="Arial" w:eastAsia="Arial" w:hAnsi="Arial" w:cs="Arial"/>
          <w:b/>
          <w:bCs/>
          <w:color w:val="000000"/>
          <w:sz w:val="24"/>
          <w:szCs w:val="24"/>
        </w:rPr>
        <w:t>MOÇÃO DE APELO</w:t>
      </w:r>
      <w:r w:rsidR="00657055" w:rsidRPr="00657055">
        <w:rPr>
          <w:rFonts w:ascii="Arial" w:eastAsia="Arial" w:hAnsi="Arial" w:cs="Arial"/>
          <w:color w:val="000000"/>
          <w:sz w:val="24"/>
          <w:szCs w:val="24"/>
        </w:rPr>
        <w:t xml:space="preserve">, dirigida ao Exmo. Sr. Governador do Estado de São Paulo, Tarcísio de Freitas, para que reconsidere os efeitos do Decreto nº 69.613, de 10 de junho de 2025, que </w:t>
      </w:r>
      <w:r w:rsidR="00657055">
        <w:rPr>
          <w:rFonts w:ascii="Arial" w:eastAsia="Arial" w:hAnsi="Arial" w:cs="Arial"/>
          <w:color w:val="000000"/>
          <w:sz w:val="24"/>
          <w:szCs w:val="24"/>
        </w:rPr>
        <w:t>reduziu</w:t>
      </w:r>
      <w:r w:rsidR="00657055" w:rsidRPr="00657055">
        <w:rPr>
          <w:rFonts w:ascii="Arial" w:eastAsia="Arial" w:hAnsi="Arial" w:cs="Arial"/>
          <w:color w:val="000000"/>
          <w:sz w:val="24"/>
          <w:szCs w:val="24"/>
        </w:rPr>
        <w:t xml:space="preserve"> de 100% para apenas 70% a destinação dos recursos arrecadados em ações de combate à lavagem de dinheiro às forças policiais, representa um grave </w:t>
      </w:r>
      <w:r w:rsidR="00657055" w:rsidRPr="00657055">
        <w:rPr>
          <w:rFonts w:ascii="Arial" w:eastAsia="Arial" w:hAnsi="Arial" w:cs="Arial"/>
          <w:b/>
          <w:bCs/>
          <w:color w:val="000000"/>
          <w:sz w:val="24"/>
          <w:szCs w:val="24"/>
        </w:rPr>
        <w:t>retrocesso</w:t>
      </w:r>
      <w:r w:rsidR="00657055" w:rsidRPr="00657055">
        <w:rPr>
          <w:rFonts w:ascii="Arial" w:eastAsia="Arial" w:hAnsi="Arial" w:cs="Arial"/>
          <w:color w:val="000000"/>
          <w:sz w:val="24"/>
          <w:szCs w:val="24"/>
        </w:rPr>
        <w:t xml:space="preserve"> para a segurança pública e para a valorização daqueles que diariamente arriscam suas vidas em defesa da sociedade.</w:t>
      </w:r>
    </w:p>
    <w:p w14:paraId="6F0F078C" w14:textId="77777777" w:rsidR="000C764C" w:rsidRPr="000C764C" w:rsidRDefault="000C764C" w:rsidP="000C764C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764C">
        <w:rPr>
          <w:rFonts w:ascii="Arial" w:eastAsia="Arial" w:hAnsi="Arial" w:cs="Arial"/>
          <w:color w:val="000000"/>
          <w:sz w:val="24"/>
          <w:szCs w:val="24"/>
        </w:rPr>
        <w:t>Cumpre ressaltar que, até então, a integralidade dos valores era aplicada por meio do Fundo de Interesses Difusos (FID) e revertida diretamente à Secretaria de Segurança Pública, permitindo o fortalecimento das forças policiais e garantindo maior eficiência no enfrentamento da criminalidade. Tal modelo assegurava que os recursos oriundos do crime organizado retornassem, de forma proporcional e justa, ao combate de suas próprias causas, representando não apenas uma política pública eficaz, mas também uma aplicação consentânea com os princípios constitucionais da razoabilidade e da eficiência administrativa (art. 37 da Constituição Federal).</w:t>
      </w:r>
    </w:p>
    <w:p w14:paraId="2EA16BFD" w14:textId="77777777" w:rsidR="000C764C" w:rsidRPr="000C764C" w:rsidRDefault="000C764C" w:rsidP="000C764C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764C">
        <w:rPr>
          <w:rFonts w:ascii="Arial" w:eastAsia="Arial" w:hAnsi="Arial" w:cs="Arial"/>
          <w:color w:val="000000"/>
          <w:sz w:val="24"/>
          <w:szCs w:val="24"/>
        </w:rPr>
        <w:t xml:space="preserve">A alteração promovida pelo Decreto nº 69.613/2025, ao reduzir de 100% para 70% a destinação desses valores às forças policiais, subtraindo 30% em favor do Fundo Especial do Ministério Público, configura inequívoco </w:t>
      </w:r>
      <w:r w:rsidRPr="000C764C">
        <w:rPr>
          <w:rFonts w:ascii="Arial" w:eastAsia="Arial" w:hAnsi="Arial" w:cs="Arial"/>
          <w:b/>
          <w:bCs/>
          <w:color w:val="000000"/>
          <w:sz w:val="24"/>
          <w:szCs w:val="24"/>
        </w:rPr>
        <w:t>retrocesso institucional</w:t>
      </w:r>
      <w:r w:rsidRPr="000C764C">
        <w:rPr>
          <w:rFonts w:ascii="Arial" w:eastAsia="Arial" w:hAnsi="Arial" w:cs="Arial"/>
          <w:color w:val="000000"/>
          <w:sz w:val="24"/>
          <w:szCs w:val="24"/>
        </w:rPr>
        <w:t>. Não se questiona a relevância do Ministério Público como função essencial à justiça, mas sim a necessidade de se resguardar a prioridade absoluta da segurança pública, cuja responsabilidade é primária e indelegável do Poder Executivo, nos termos do art. 144 da Constituição Federal.</w:t>
      </w:r>
    </w:p>
    <w:p w14:paraId="01B89292" w14:textId="77777777" w:rsidR="000C764C" w:rsidRPr="000C764C" w:rsidRDefault="000C764C" w:rsidP="000C764C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764C">
        <w:rPr>
          <w:rFonts w:ascii="Arial" w:eastAsia="Arial" w:hAnsi="Arial" w:cs="Arial"/>
          <w:color w:val="000000"/>
          <w:sz w:val="24"/>
          <w:szCs w:val="24"/>
        </w:rPr>
        <w:t xml:space="preserve">Ademais, a gestão de fundos vinculados a órgãos autônomos, sem a devida fiscalização social e parlamentar, suscita fundadas preocupações quanto à observância do princípio da transparência na administração dos recursos públicos, também insculpido no </w:t>
      </w:r>
      <w:r w:rsidRPr="000C764C">
        <w:rPr>
          <w:rFonts w:ascii="Arial" w:eastAsia="Arial" w:hAnsi="Arial" w:cs="Arial"/>
          <w:color w:val="000000"/>
          <w:sz w:val="24"/>
          <w:szCs w:val="24"/>
        </w:rPr>
        <w:lastRenderedPageBreak/>
        <w:t>art. 37 da Constituição Federal. A medida em questão, portanto, não apenas fragiliza a capacidade operacional das polícias estaduais, mas compromete a eficácia do dever estatal de proteção da ordem pública e da incolumidade das pessoas e do patrimônio.</w:t>
      </w:r>
    </w:p>
    <w:p w14:paraId="218DA9FA" w14:textId="290F1A3A" w:rsidR="001319E6" w:rsidRDefault="000C764C" w:rsidP="000C764C">
      <w:pPr>
        <w:pStyle w:val="Standard"/>
        <w:spacing w:after="140" w:line="360" w:lineRule="auto"/>
        <w:ind w:firstLine="127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764C">
        <w:rPr>
          <w:rFonts w:ascii="Arial" w:eastAsia="Arial" w:hAnsi="Arial" w:cs="Arial"/>
          <w:color w:val="000000"/>
          <w:sz w:val="24"/>
          <w:szCs w:val="24"/>
        </w:rPr>
        <w:t>Diante disso, este Parlamento apela ao Exmo. Governador do Estado de São Paulo para que reveja a decisão, restabelecendo a destinação integral dos recursos às forças policiais. É imperioso reconhecer que a valorização dos profissionais de segurança pública — que diuturnamente arriscam suas vidas em prol da coletividade — não pode ser relativizada em nome de conveniências administrativas. Trata-se de uma exigência constitucional, moral e institucional, sem a qual a sociedade paulista permanecerá vulnerável diante do avanço do crime organizado.</w:t>
      </w:r>
    </w:p>
    <w:p w14:paraId="6DA90705" w14:textId="77777777" w:rsidR="000C764C" w:rsidRDefault="000C764C" w:rsidP="00ED1CA8">
      <w:pPr>
        <w:pStyle w:val="Standard"/>
        <w:spacing w:after="1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2BEA4BA" w14:textId="38328E8D" w:rsidR="001319E6" w:rsidRDefault="00000000" w:rsidP="00ED1CA8">
      <w:pPr>
        <w:pStyle w:val="Standard"/>
        <w:spacing w:line="360" w:lineRule="auto"/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 w:rsidR="000C764C">
        <w:rPr>
          <w:rFonts w:ascii="Arial" w:eastAsia="Arial" w:hAnsi="Arial" w:cs="Arial"/>
          <w:color w:val="000000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291EE4">
        <w:rPr>
          <w:rFonts w:ascii="Arial" w:eastAsia="Arial" w:hAnsi="Arial" w:cs="Arial"/>
          <w:color w:val="000000"/>
          <w:sz w:val="24"/>
          <w:szCs w:val="24"/>
        </w:rPr>
        <w:t>setembro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2025.</w:t>
      </w:r>
    </w:p>
    <w:p w14:paraId="6408A99F" w14:textId="77777777" w:rsidR="00417F22" w:rsidRDefault="00417F22" w:rsidP="00291EE4">
      <w:pPr>
        <w:pStyle w:val="Standard"/>
        <w:spacing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D7E8D8A" w14:textId="77777777" w:rsidR="00293A04" w:rsidRDefault="00293A04" w:rsidP="00291EE4">
      <w:pPr>
        <w:pStyle w:val="Standard"/>
        <w:spacing w:line="36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20974D8" w14:textId="5FDF515C" w:rsidR="00417F22" w:rsidRDefault="00417F22" w:rsidP="00ED1CA8">
      <w:pPr>
        <w:pStyle w:val="Standard"/>
        <w:spacing w:line="360" w:lineRule="auto"/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Jefferson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Pécori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Viana</w:t>
      </w:r>
    </w:p>
    <w:p w14:paraId="007A1AED" w14:textId="6658199A" w:rsidR="00417F22" w:rsidRPr="00417F22" w:rsidRDefault="00417F22" w:rsidP="00291EE4">
      <w:pPr>
        <w:pStyle w:val="Standard"/>
        <w:spacing w:line="360" w:lineRule="auto"/>
        <w:ind w:left="-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Vereador</w:t>
      </w:r>
    </w:p>
    <w:sectPr w:rsidR="00417F22" w:rsidRPr="00417F22" w:rsidSect="00527DCF">
      <w:headerReference w:type="default" r:id="rId7"/>
      <w:pgSz w:w="11906" w:h="16838"/>
      <w:pgMar w:top="1950" w:right="1134" w:bottom="1134" w:left="1134" w:header="56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A9A15" w14:textId="77777777" w:rsidR="00560A3D" w:rsidRDefault="00560A3D">
      <w:r>
        <w:separator/>
      </w:r>
    </w:p>
  </w:endnote>
  <w:endnote w:type="continuationSeparator" w:id="0">
    <w:p w14:paraId="10F069E7" w14:textId="77777777" w:rsidR="00560A3D" w:rsidRDefault="0056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C0172" w14:textId="77777777" w:rsidR="00560A3D" w:rsidRDefault="00560A3D">
      <w:r>
        <w:rPr>
          <w:color w:val="000000"/>
        </w:rPr>
        <w:separator/>
      </w:r>
    </w:p>
  </w:footnote>
  <w:footnote w:type="continuationSeparator" w:id="0">
    <w:p w14:paraId="2FC26B60" w14:textId="77777777" w:rsidR="00560A3D" w:rsidRDefault="0056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B6A5A" w14:textId="77777777" w:rsidR="00217038" w:rsidRDefault="00000000">
    <w:pPr>
      <w:pStyle w:val="Standard"/>
      <w:keepNext/>
      <w:ind w:left="1680"/>
      <w:jc w:val="center"/>
      <w:rPr>
        <w:rFonts w:ascii="Georgia" w:eastAsia="Georgia" w:hAnsi="Georgia" w:cs="Georgia"/>
        <w:b/>
        <w:smallCaps/>
        <w:sz w:val="40"/>
        <w:szCs w:val="40"/>
      </w:rPr>
    </w:pPr>
    <w:r>
      <w:rPr>
        <w:rFonts w:ascii="Georgia" w:eastAsia="Georgia" w:hAnsi="Georgia" w:cs="Georgia"/>
        <w:b/>
        <w:small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2DC38A2" wp14:editId="357588CD">
          <wp:simplePos x="0" y="0"/>
          <wp:positionH relativeFrom="column">
            <wp:posOffset>-23400</wp:posOffset>
          </wp:positionH>
          <wp:positionV relativeFrom="paragraph">
            <wp:posOffset>-28440</wp:posOffset>
          </wp:positionV>
          <wp:extent cx="1079639" cy="1128960"/>
          <wp:effectExtent l="0" t="0" r="6211" b="0"/>
          <wp:wrapNone/>
          <wp:docPr id="8798940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634" t="-608" r="-634" b="-608"/>
                  <a:stretch>
                    <a:fillRect/>
                  </a:stretch>
                </pic:blipFill>
                <pic:spPr>
                  <a:xfrm>
                    <a:off x="0" y="0"/>
                    <a:ext cx="1079639" cy="1128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684BF681" w14:textId="77777777" w:rsidR="00217038" w:rsidRDefault="00000000">
    <w:pPr>
      <w:pStyle w:val="Standard"/>
      <w:keepNext/>
      <w:ind w:left="1680"/>
      <w:jc w:val="center"/>
      <w:rPr>
        <w:rFonts w:ascii="Georgia" w:eastAsia="Georgia" w:hAnsi="Georgia" w:cs="Georgia"/>
        <w:b/>
        <w:smallCaps/>
      </w:rPr>
    </w:pPr>
    <w:r>
      <w:rPr>
        <w:rFonts w:ascii="Georgia" w:eastAsia="Georgia" w:hAnsi="Georgia" w:cs="Georgia"/>
        <w:b/>
        <w:smallCaps/>
      </w:rPr>
      <w:t>“VEREADOR DANIEL AGUILAR DE SOUZA”</w:t>
    </w:r>
  </w:p>
  <w:p w14:paraId="453C9DB6" w14:textId="77777777" w:rsidR="00217038" w:rsidRDefault="00000000">
    <w:pPr>
      <w:pStyle w:val="Standard"/>
      <w:keepNext/>
      <w:ind w:left="1680"/>
      <w:jc w:val="center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417B29B5" w14:textId="77777777" w:rsidR="00217038" w:rsidRDefault="00000000">
    <w:pPr>
      <w:pStyle w:val="Standard"/>
      <w:keepNext/>
      <w:ind w:left="1680"/>
      <w:jc w:val="center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</w:t>
    </w:r>
    <w:proofErr w:type="gramStart"/>
    <w:r>
      <w:rPr>
        <w:rFonts w:ascii="Georgia" w:eastAsia="Georgia" w:hAnsi="Georgia" w:cs="Georgia"/>
        <w:sz w:val="18"/>
        <w:szCs w:val="18"/>
      </w:rPr>
      <w:t>13 )</w:t>
    </w:r>
    <w:proofErr w:type="gramEnd"/>
    <w:r>
      <w:rPr>
        <w:rFonts w:ascii="Georgia" w:eastAsia="Georgia" w:hAnsi="Georgia" w:cs="Georgia"/>
        <w:sz w:val="18"/>
        <w:szCs w:val="18"/>
      </w:rPr>
      <w:t xml:space="preserve">  3828-1100</w:t>
    </w:r>
  </w:p>
  <w:p w14:paraId="2CFBCF62" w14:textId="77777777" w:rsidR="00217038" w:rsidRDefault="00217038">
    <w:pPr>
      <w:pStyle w:val="Standard"/>
      <w:ind w:left="1680"/>
      <w:jc w:val="center"/>
    </w:pPr>
    <w:hyperlink r:id="rId2" w:history="1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534FB925" w14:textId="77777777" w:rsidR="00217038" w:rsidRDefault="00217038">
    <w:pPr>
      <w:pStyle w:val="Standard"/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347E926A" w14:textId="77777777" w:rsidR="00217038" w:rsidRDefault="00217038">
    <w:pPr>
      <w:pStyle w:val="Standard"/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76C3BB67" w14:textId="77777777" w:rsidR="00217038" w:rsidRDefault="00217038">
    <w:pPr>
      <w:pStyle w:val="Standard"/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4DF968E3" w14:textId="77777777" w:rsidR="00217038" w:rsidRDefault="00217038">
    <w:pPr>
      <w:pStyle w:val="Standard"/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838F8"/>
    <w:multiLevelType w:val="multilevel"/>
    <w:tmpl w:val="899CAA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4BEA"/>
    <w:multiLevelType w:val="multilevel"/>
    <w:tmpl w:val="275C620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88478">
    <w:abstractNumId w:val="1"/>
  </w:num>
  <w:num w:numId="2" w16cid:durableId="110685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E6"/>
    <w:rsid w:val="00034937"/>
    <w:rsid w:val="000C764C"/>
    <w:rsid w:val="001319E6"/>
    <w:rsid w:val="00217038"/>
    <w:rsid w:val="00224230"/>
    <w:rsid w:val="0022543C"/>
    <w:rsid w:val="00291EE4"/>
    <w:rsid w:val="00293A04"/>
    <w:rsid w:val="002B6A11"/>
    <w:rsid w:val="00325E0F"/>
    <w:rsid w:val="00417F22"/>
    <w:rsid w:val="00422CEE"/>
    <w:rsid w:val="00432EB1"/>
    <w:rsid w:val="004D1859"/>
    <w:rsid w:val="00500724"/>
    <w:rsid w:val="00527DCF"/>
    <w:rsid w:val="00560A3D"/>
    <w:rsid w:val="00594619"/>
    <w:rsid w:val="005B03C9"/>
    <w:rsid w:val="00657055"/>
    <w:rsid w:val="006E3144"/>
    <w:rsid w:val="006F2C1F"/>
    <w:rsid w:val="007F7120"/>
    <w:rsid w:val="0089285D"/>
    <w:rsid w:val="00A04BFD"/>
    <w:rsid w:val="00AE516B"/>
    <w:rsid w:val="00B85584"/>
    <w:rsid w:val="00D23679"/>
    <w:rsid w:val="00DF4173"/>
    <w:rsid w:val="00E11D4D"/>
    <w:rsid w:val="00ED1CA8"/>
    <w:rsid w:val="00E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EB57"/>
  <w15:docId w15:val="{FA782A86-7FE2-467B-8506-B018EA4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tulo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Standard"/>
    <w:pPr>
      <w:ind w:left="720"/>
      <w:contextualSpacing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ROBERTO KOGI UEKI</cp:lastModifiedBy>
  <cp:revision>5</cp:revision>
  <dcterms:created xsi:type="dcterms:W3CDTF">2025-09-10T12:28:00Z</dcterms:created>
  <dcterms:modified xsi:type="dcterms:W3CDTF">2025-09-10T16:45:00Z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