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F6367D" w14:textId="454783D8" w:rsidR="008133C9" w:rsidRPr="001B7BF6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B7BF6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EF2B10">
        <w:rPr>
          <w:rFonts w:ascii="Arial" w:hAnsi="Arial" w:cs="Arial"/>
          <w:b/>
          <w:bCs/>
          <w:sz w:val="22"/>
          <w:szCs w:val="22"/>
        </w:rPr>
        <w:t>13/</w:t>
      </w:r>
      <w:r w:rsidRPr="001B7BF6">
        <w:rPr>
          <w:rFonts w:ascii="Arial" w:hAnsi="Arial" w:cs="Arial"/>
          <w:b/>
          <w:bCs/>
          <w:sz w:val="22"/>
          <w:szCs w:val="22"/>
        </w:rPr>
        <w:t>202</w:t>
      </w:r>
      <w:r w:rsidR="00AD24A2" w:rsidRPr="001B7BF6">
        <w:rPr>
          <w:rFonts w:ascii="Arial" w:hAnsi="Arial" w:cs="Arial"/>
          <w:b/>
          <w:bCs/>
          <w:sz w:val="22"/>
          <w:szCs w:val="22"/>
        </w:rPr>
        <w:t>5</w:t>
      </w:r>
    </w:p>
    <w:p w14:paraId="03953E7E" w14:textId="77777777" w:rsidR="00F23B0F" w:rsidRDefault="00F23B0F">
      <w:pPr>
        <w:rPr>
          <w:rFonts w:ascii="Arial" w:hAnsi="Arial" w:cs="Arial"/>
          <w:sz w:val="22"/>
          <w:szCs w:val="22"/>
        </w:rPr>
      </w:pPr>
    </w:p>
    <w:p w14:paraId="7A5A8193" w14:textId="77777777" w:rsidR="001B7BF6" w:rsidRPr="001B7BF6" w:rsidRDefault="001B7BF6">
      <w:pPr>
        <w:rPr>
          <w:rFonts w:ascii="Arial" w:hAnsi="Arial" w:cs="Arial"/>
          <w:sz w:val="22"/>
          <w:szCs w:val="22"/>
        </w:rPr>
      </w:pPr>
    </w:p>
    <w:p w14:paraId="0F8B1C87" w14:textId="6106707D" w:rsidR="009333D4" w:rsidRPr="001B7BF6" w:rsidRDefault="00B90EC3" w:rsidP="00222E12">
      <w:pPr>
        <w:ind w:left="5102"/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Dispõe sobre a criação da lei de inserção do uso do Código de Barras Bidimensional Quick Response (QR </w:t>
      </w:r>
      <w:proofErr w:type="spellStart"/>
      <w:r w:rsidRPr="001B7BF6">
        <w:rPr>
          <w:rFonts w:ascii="Arial" w:hAnsi="Arial" w:cs="Arial"/>
          <w:sz w:val="22"/>
          <w:szCs w:val="22"/>
        </w:rPr>
        <w:t>Code</w:t>
      </w:r>
      <w:proofErr w:type="spellEnd"/>
      <w:r w:rsidRPr="001B7BF6">
        <w:rPr>
          <w:rFonts w:ascii="Arial" w:hAnsi="Arial" w:cs="Arial"/>
          <w:sz w:val="22"/>
          <w:szCs w:val="22"/>
        </w:rPr>
        <w:t xml:space="preserve">) na política municipal de transparência das obras públicas no âmbito do </w:t>
      </w:r>
      <w:r w:rsidR="001B7BF6" w:rsidRPr="001B7BF6">
        <w:rPr>
          <w:rFonts w:ascii="Arial" w:hAnsi="Arial" w:cs="Arial"/>
          <w:sz w:val="22"/>
          <w:szCs w:val="22"/>
        </w:rPr>
        <w:t xml:space="preserve">município </w:t>
      </w:r>
      <w:r w:rsidRPr="001B7BF6">
        <w:rPr>
          <w:rFonts w:ascii="Arial" w:hAnsi="Arial" w:cs="Arial"/>
          <w:sz w:val="22"/>
          <w:szCs w:val="22"/>
        </w:rPr>
        <w:t>de Registro/SP e dá outras providências.</w:t>
      </w:r>
    </w:p>
    <w:p w14:paraId="66D215B9" w14:textId="77777777" w:rsidR="00B90EC3" w:rsidRDefault="00B90EC3" w:rsidP="00222E12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4C2834FD" w14:textId="77777777" w:rsidR="001B7BF6" w:rsidRPr="001B7BF6" w:rsidRDefault="001B7BF6" w:rsidP="00222E12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24983A44" w14:textId="77777777" w:rsidR="00F23B0F" w:rsidRPr="001B7BF6" w:rsidRDefault="00F23B0F" w:rsidP="00AD24A2">
      <w:pPr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A Câmara Municipal de Registro APROVA</w:t>
      </w:r>
      <w:r w:rsidR="008133C9" w:rsidRPr="001B7BF6">
        <w:rPr>
          <w:rFonts w:ascii="Arial" w:hAnsi="Arial" w:cs="Arial"/>
          <w:sz w:val="22"/>
          <w:szCs w:val="22"/>
        </w:rPr>
        <w:t>:</w:t>
      </w:r>
    </w:p>
    <w:p w14:paraId="7F00174B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</w:p>
    <w:p w14:paraId="4AB24BBC" w14:textId="77777777" w:rsidR="001B7BF6" w:rsidRPr="001B7BF6" w:rsidRDefault="001B7BF6" w:rsidP="00AD24A2">
      <w:pPr>
        <w:rPr>
          <w:rFonts w:ascii="Arial" w:hAnsi="Arial" w:cs="Arial"/>
          <w:sz w:val="22"/>
          <w:szCs w:val="22"/>
        </w:rPr>
      </w:pPr>
    </w:p>
    <w:p w14:paraId="418A9B39" w14:textId="79F27341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Art. 1º </w:t>
      </w:r>
      <w:r w:rsidR="001B7BF6">
        <w:rPr>
          <w:rFonts w:ascii="Arial" w:hAnsi="Arial" w:cs="Arial"/>
          <w:sz w:val="22"/>
          <w:szCs w:val="22"/>
        </w:rPr>
        <w:t xml:space="preserve"> </w:t>
      </w:r>
      <w:r w:rsidRPr="001B7BF6">
        <w:rPr>
          <w:rFonts w:ascii="Arial" w:hAnsi="Arial" w:cs="Arial"/>
          <w:sz w:val="22"/>
          <w:szCs w:val="22"/>
        </w:rPr>
        <w:t xml:space="preserve"> Fica instituído o uso do Código de Barras Bidimensional Quick Response (QR </w:t>
      </w:r>
      <w:proofErr w:type="spellStart"/>
      <w:r w:rsidRPr="001B7BF6">
        <w:rPr>
          <w:rFonts w:ascii="Arial" w:hAnsi="Arial" w:cs="Arial"/>
          <w:sz w:val="22"/>
          <w:szCs w:val="22"/>
        </w:rPr>
        <w:t>Code</w:t>
      </w:r>
      <w:proofErr w:type="spellEnd"/>
      <w:r w:rsidRPr="001B7BF6">
        <w:rPr>
          <w:rFonts w:ascii="Arial" w:hAnsi="Arial" w:cs="Arial"/>
          <w:sz w:val="22"/>
          <w:szCs w:val="22"/>
        </w:rPr>
        <w:t xml:space="preserve">) na divulgação das informações das obras públicas municipais no âmbito do </w:t>
      </w:r>
      <w:r w:rsidR="001B7BF6" w:rsidRPr="001B7BF6">
        <w:rPr>
          <w:rFonts w:ascii="Arial" w:hAnsi="Arial" w:cs="Arial"/>
          <w:sz w:val="22"/>
          <w:szCs w:val="22"/>
        </w:rPr>
        <w:t xml:space="preserve">município </w:t>
      </w:r>
      <w:r w:rsidRPr="001B7BF6">
        <w:rPr>
          <w:rFonts w:ascii="Arial" w:hAnsi="Arial" w:cs="Arial"/>
          <w:sz w:val="22"/>
          <w:szCs w:val="22"/>
        </w:rPr>
        <w:t>de Registro/SP.</w:t>
      </w:r>
    </w:p>
    <w:p w14:paraId="7D71A0A9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0B2D7420" w14:textId="54D8306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Art. 2º </w:t>
      </w:r>
      <w:r w:rsidR="001B7BF6">
        <w:rPr>
          <w:rFonts w:ascii="Arial" w:hAnsi="Arial" w:cs="Arial"/>
          <w:sz w:val="22"/>
          <w:szCs w:val="22"/>
        </w:rPr>
        <w:t xml:space="preserve">  </w:t>
      </w:r>
      <w:r w:rsidRPr="001B7BF6">
        <w:rPr>
          <w:rFonts w:ascii="Arial" w:hAnsi="Arial" w:cs="Arial"/>
          <w:sz w:val="22"/>
          <w:szCs w:val="22"/>
        </w:rPr>
        <w:t xml:space="preserve"> São objetivos da política instituída por esta lei:</w:t>
      </w:r>
    </w:p>
    <w:p w14:paraId="69CCA57F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6AF5E9FA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1B7BF6">
        <w:rPr>
          <w:rFonts w:ascii="Arial" w:hAnsi="Arial" w:cs="Arial"/>
          <w:sz w:val="22"/>
          <w:szCs w:val="22"/>
        </w:rPr>
        <w:t>estabelecer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uma relação de cunho cooperativo entre a administração pública e o cidadão;</w:t>
      </w:r>
    </w:p>
    <w:p w14:paraId="771E0AC9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B7BF6">
        <w:rPr>
          <w:rFonts w:ascii="Arial" w:hAnsi="Arial" w:cs="Arial"/>
          <w:sz w:val="22"/>
          <w:szCs w:val="22"/>
        </w:rPr>
        <w:t>disponibilizar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ao cidadão informações consolidadas a respeito de todas as obras públicas que tenham o Município como contratante;</w:t>
      </w:r>
    </w:p>
    <w:p w14:paraId="5690C1AC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III - garantir ao cidadão as informações necessárias para que possa exercer seu direito de fiscalização do gasto público.</w:t>
      </w:r>
    </w:p>
    <w:p w14:paraId="0A62B8AE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0853B2D9" w14:textId="36C40A4C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Art. 3º </w:t>
      </w:r>
      <w:r w:rsidR="001B7BF6">
        <w:rPr>
          <w:rFonts w:ascii="Arial" w:hAnsi="Arial" w:cs="Arial"/>
          <w:sz w:val="22"/>
          <w:szCs w:val="22"/>
        </w:rPr>
        <w:t xml:space="preserve">   </w:t>
      </w:r>
      <w:r w:rsidRPr="001B7BF6">
        <w:rPr>
          <w:rFonts w:ascii="Arial" w:hAnsi="Arial" w:cs="Arial"/>
          <w:sz w:val="22"/>
          <w:szCs w:val="22"/>
        </w:rPr>
        <w:t xml:space="preserve"> Para os efeitos desta lei, o Poder Executivo deverá disponibilizar, mediante informações atualizadas dispostas no Portal da Transparência, Código de Barras Bidimensional Quick Response (QR </w:t>
      </w:r>
      <w:proofErr w:type="spellStart"/>
      <w:r w:rsidRPr="001B7BF6">
        <w:rPr>
          <w:rFonts w:ascii="Arial" w:hAnsi="Arial" w:cs="Arial"/>
          <w:sz w:val="22"/>
          <w:szCs w:val="22"/>
        </w:rPr>
        <w:t>Code</w:t>
      </w:r>
      <w:proofErr w:type="spellEnd"/>
      <w:r w:rsidRPr="001B7BF6">
        <w:rPr>
          <w:rFonts w:ascii="Arial" w:hAnsi="Arial" w:cs="Arial"/>
          <w:sz w:val="22"/>
          <w:szCs w:val="22"/>
        </w:rPr>
        <w:t>) nas placas de obras públicas executadas por sua Administração Direta e Administração Indireta ou por empresas terceirizadas, contendo informações claras e de fácil entendimento sobre todas as obras públicas que tenham o Município como contratante, respeitadas as exigências da Lei Geral de Proteção de Dados Pessoais (LGPD).</w:t>
      </w:r>
    </w:p>
    <w:p w14:paraId="0E00D4D3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50F159A6" w14:textId="1B263427" w:rsidR="00B90EC3" w:rsidRPr="001B7BF6" w:rsidRDefault="00EF2B10" w:rsidP="00B90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B90EC3" w:rsidRPr="001B7BF6">
        <w:rPr>
          <w:rFonts w:ascii="Arial" w:hAnsi="Arial" w:cs="Arial"/>
          <w:sz w:val="22"/>
          <w:szCs w:val="22"/>
        </w:rPr>
        <w:t xml:space="preserve"> 1º</w:t>
      </w:r>
      <w:r>
        <w:rPr>
          <w:rFonts w:ascii="Arial" w:hAnsi="Arial" w:cs="Arial"/>
          <w:sz w:val="22"/>
          <w:szCs w:val="22"/>
        </w:rPr>
        <w:t xml:space="preserve">     </w:t>
      </w:r>
      <w:r w:rsidR="00B90EC3" w:rsidRPr="001B7BF6">
        <w:rPr>
          <w:rFonts w:ascii="Arial" w:hAnsi="Arial" w:cs="Arial"/>
          <w:sz w:val="22"/>
          <w:szCs w:val="22"/>
        </w:rPr>
        <w:t xml:space="preserve">O Código de Barras Bidimensional Quick Response (QR </w:t>
      </w:r>
      <w:proofErr w:type="spellStart"/>
      <w:r w:rsidR="00B90EC3" w:rsidRPr="001B7BF6">
        <w:rPr>
          <w:rFonts w:ascii="Arial" w:hAnsi="Arial" w:cs="Arial"/>
          <w:sz w:val="22"/>
          <w:szCs w:val="22"/>
        </w:rPr>
        <w:t>Code</w:t>
      </w:r>
      <w:proofErr w:type="spellEnd"/>
      <w:r w:rsidR="00B90EC3" w:rsidRPr="001B7BF6">
        <w:rPr>
          <w:rFonts w:ascii="Arial" w:hAnsi="Arial" w:cs="Arial"/>
          <w:sz w:val="22"/>
          <w:szCs w:val="22"/>
        </w:rPr>
        <w:t>) deverá ser disponibilizado nas placas indicativas de obras públicas em tamanho e localização visíveis e de fácil acesso à população, permitindo a leitura por meio de dispositivos móveis.</w:t>
      </w:r>
    </w:p>
    <w:p w14:paraId="56091B95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3673FAA5" w14:textId="0BF5D0BC" w:rsidR="00B90EC3" w:rsidRPr="001B7BF6" w:rsidRDefault="00EF2B10" w:rsidP="00B90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B90EC3" w:rsidRPr="001B7BF6">
        <w:rPr>
          <w:rFonts w:ascii="Arial" w:hAnsi="Arial" w:cs="Arial"/>
          <w:sz w:val="22"/>
          <w:szCs w:val="22"/>
        </w:rPr>
        <w:t xml:space="preserve"> 2º</w:t>
      </w:r>
      <w:r>
        <w:rPr>
          <w:rFonts w:ascii="Arial" w:hAnsi="Arial" w:cs="Arial"/>
          <w:sz w:val="22"/>
          <w:szCs w:val="22"/>
        </w:rPr>
        <w:t xml:space="preserve">   </w:t>
      </w:r>
      <w:r w:rsidR="00B90EC3" w:rsidRPr="001B7BF6">
        <w:rPr>
          <w:rFonts w:ascii="Arial" w:hAnsi="Arial" w:cs="Arial"/>
          <w:sz w:val="22"/>
          <w:szCs w:val="22"/>
        </w:rPr>
        <w:t xml:space="preserve"> Para atender ao disposto no caput deste artigo, as informações veiculadas por meio de Código de Barras Bidimensional Quick Response (QR </w:t>
      </w:r>
      <w:proofErr w:type="spellStart"/>
      <w:r w:rsidR="00B90EC3" w:rsidRPr="001B7BF6">
        <w:rPr>
          <w:rFonts w:ascii="Arial" w:hAnsi="Arial" w:cs="Arial"/>
          <w:sz w:val="22"/>
          <w:szCs w:val="22"/>
        </w:rPr>
        <w:t>Code</w:t>
      </w:r>
      <w:proofErr w:type="spellEnd"/>
      <w:r w:rsidR="00B90EC3" w:rsidRPr="001B7BF6">
        <w:rPr>
          <w:rFonts w:ascii="Arial" w:hAnsi="Arial" w:cs="Arial"/>
          <w:sz w:val="22"/>
          <w:szCs w:val="22"/>
        </w:rPr>
        <w:t>) nas placas de obras públicas deverão contemplar:</w:t>
      </w:r>
    </w:p>
    <w:p w14:paraId="1A636BC7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732A70FB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1B7BF6">
        <w:rPr>
          <w:rFonts w:ascii="Arial" w:hAnsi="Arial" w:cs="Arial"/>
          <w:sz w:val="22"/>
          <w:szCs w:val="22"/>
        </w:rPr>
        <w:t>nome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e Cadastro Nacional de Pessoa Jurídica (CNPJ) da empresa responsável pela obra;</w:t>
      </w:r>
    </w:p>
    <w:p w14:paraId="3E3D3629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B7BF6">
        <w:rPr>
          <w:rFonts w:ascii="Arial" w:hAnsi="Arial" w:cs="Arial"/>
          <w:sz w:val="22"/>
          <w:szCs w:val="22"/>
        </w:rPr>
        <w:t>finalidade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da obra;</w:t>
      </w:r>
    </w:p>
    <w:p w14:paraId="4D5388CD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III - data de início e previsão de término da obra;</w:t>
      </w:r>
    </w:p>
    <w:p w14:paraId="18B40C5F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1B7BF6">
        <w:rPr>
          <w:rFonts w:ascii="Arial" w:hAnsi="Arial" w:cs="Arial"/>
          <w:sz w:val="22"/>
          <w:szCs w:val="22"/>
        </w:rPr>
        <w:t>fases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de execução da obra;</w:t>
      </w:r>
    </w:p>
    <w:p w14:paraId="4E4B6191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1B7BF6">
        <w:rPr>
          <w:rFonts w:ascii="Arial" w:hAnsi="Arial" w:cs="Arial"/>
          <w:sz w:val="22"/>
          <w:szCs w:val="22"/>
        </w:rPr>
        <w:t>contrato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da obra bem como seus aditivos, se houver;</w:t>
      </w:r>
    </w:p>
    <w:p w14:paraId="3CEAD556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1B7BF6">
        <w:rPr>
          <w:rFonts w:ascii="Arial" w:hAnsi="Arial" w:cs="Arial"/>
          <w:sz w:val="22"/>
          <w:szCs w:val="22"/>
        </w:rPr>
        <w:t>datas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de prorrogações da obra e nova previsão de entrega, quando houver.</w:t>
      </w:r>
    </w:p>
    <w:p w14:paraId="18072008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646499F0" w14:textId="3BF0A34D" w:rsidR="00B90EC3" w:rsidRPr="001B7BF6" w:rsidRDefault="00EF2B10" w:rsidP="00B90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B90EC3" w:rsidRPr="001B7BF6">
        <w:rPr>
          <w:rFonts w:ascii="Arial" w:hAnsi="Arial" w:cs="Arial"/>
          <w:sz w:val="22"/>
          <w:szCs w:val="22"/>
        </w:rPr>
        <w:t xml:space="preserve"> 3º </w:t>
      </w:r>
      <w:r>
        <w:rPr>
          <w:rFonts w:ascii="Arial" w:hAnsi="Arial" w:cs="Arial"/>
          <w:sz w:val="22"/>
          <w:szCs w:val="22"/>
        </w:rPr>
        <w:t xml:space="preserve">  </w:t>
      </w:r>
      <w:r w:rsidR="00B90EC3" w:rsidRPr="001B7BF6">
        <w:rPr>
          <w:rFonts w:ascii="Arial" w:hAnsi="Arial" w:cs="Arial"/>
          <w:sz w:val="22"/>
          <w:szCs w:val="22"/>
        </w:rPr>
        <w:t xml:space="preserve"> Na hipótese de modificação do escopo ou de ampliação da obra, deverão ser apresentadas as justificativas pertinentes e os números de todos os termos aditivos celebrados.</w:t>
      </w:r>
    </w:p>
    <w:p w14:paraId="02726D86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7AE05F47" w14:textId="51315DFE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Art. 4º</w:t>
      </w:r>
      <w:r w:rsidR="00EF2B10">
        <w:rPr>
          <w:rFonts w:ascii="Arial" w:hAnsi="Arial" w:cs="Arial"/>
          <w:sz w:val="22"/>
          <w:szCs w:val="22"/>
        </w:rPr>
        <w:t xml:space="preserve">  </w:t>
      </w:r>
      <w:r w:rsidRPr="001B7BF6">
        <w:rPr>
          <w:rFonts w:ascii="Arial" w:hAnsi="Arial" w:cs="Arial"/>
          <w:sz w:val="22"/>
          <w:szCs w:val="22"/>
        </w:rPr>
        <w:t xml:space="preserve"> Nos casos em que as obras a que se refere o caput do art. 3º desta lei estiverem interrompidas por mais de 30 (trinta) dias, o Poder Executivo deverá disponibilizar as seguintes informações em sua página eletrônica:</w:t>
      </w:r>
    </w:p>
    <w:p w14:paraId="0CB43071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77B31D03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1B7BF6">
        <w:rPr>
          <w:rFonts w:ascii="Arial" w:hAnsi="Arial" w:cs="Arial"/>
          <w:sz w:val="22"/>
          <w:szCs w:val="22"/>
        </w:rPr>
        <w:t>o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tempo de interrupção da obra;</w:t>
      </w:r>
    </w:p>
    <w:p w14:paraId="2D6D049C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1B7BF6">
        <w:rPr>
          <w:rFonts w:ascii="Arial" w:hAnsi="Arial" w:cs="Arial"/>
          <w:sz w:val="22"/>
          <w:szCs w:val="22"/>
        </w:rPr>
        <w:t>os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motivos que determinaram a interrupção da obra e as medidas que estão sendo tomadas para a sua retomada;</w:t>
      </w:r>
    </w:p>
    <w:p w14:paraId="4A56ACB6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III - o percentual executado do cronograma da obra interrompida;</w:t>
      </w:r>
    </w:p>
    <w:p w14:paraId="7A2CAC5D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1B7BF6">
        <w:rPr>
          <w:rFonts w:ascii="Arial" w:hAnsi="Arial" w:cs="Arial"/>
          <w:sz w:val="22"/>
          <w:szCs w:val="22"/>
        </w:rPr>
        <w:t>a</w:t>
      </w:r>
      <w:proofErr w:type="gramEnd"/>
      <w:r w:rsidRPr="001B7BF6">
        <w:rPr>
          <w:rFonts w:ascii="Arial" w:hAnsi="Arial" w:cs="Arial"/>
          <w:sz w:val="22"/>
          <w:szCs w:val="22"/>
        </w:rPr>
        <w:t xml:space="preserve"> data prevista para o reinício da obra e para a sua conclusão.</w:t>
      </w:r>
    </w:p>
    <w:p w14:paraId="1EDD5B5B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2D06775E" w14:textId="3FDF7C38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Parágrafo </w:t>
      </w:r>
      <w:r w:rsidR="00EF2B10" w:rsidRPr="001B7BF6">
        <w:rPr>
          <w:rFonts w:ascii="Arial" w:hAnsi="Arial" w:cs="Arial"/>
          <w:sz w:val="22"/>
          <w:szCs w:val="22"/>
        </w:rPr>
        <w:t>único</w:t>
      </w:r>
      <w:r w:rsidR="00EF2B10">
        <w:rPr>
          <w:rFonts w:ascii="Arial" w:hAnsi="Arial" w:cs="Arial"/>
          <w:sz w:val="22"/>
          <w:szCs w:val="22"/>
        </w:rPr>
        <w:t xml:space="preserve">.  </w:t>
      </w:r>
      <w:r w:rsidRPr="001B7BF6">
        <w:rPr>
          <w:rFonts w:ascii="Arial" w:hAnsi="Arial" w:cs="Arial"/>
          <w:sz w:val="22"/>
          <w:szCs w:val="22"/>
        </w:rPr>
        <w:t xml:space="preserve"> Em caso de cancelamento do contrato ou da execução da obra, deverá ser disponibilizada a justificativa.</w:t>
      </w:r>
    </w:p>
    <w:p w14:paraId="6C1E2BA9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5C7DDC6B" w14:textId="43B8AB1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Art. 5º </w:t>
      </w:r>
      <w:r w:rsidR="00EF2B10">
        <w:rPr>
          <w:rFonts w:ascii="Arial" w:hAnsi="Arial" w:cs="Arial"/>
          <w:sz w:val="22"/>
          <w:szCs w:val="22"/>
        </w:rPr>
        <w:t xml:space="preserve"> </w:t>
      </w:r>
      <w:r w:rsidRPr="001B7BF6">
        <w:rPr>
          <w:rFonts w:ascii="Arial" w:hAnsi="Arial" w:cs="Arial"/>
          <w:sz w:val="22"/>
          <w:szCs w:val="22"/>
        </w:rPr>
        <w:t xml:space="preserve"> As informações referentes à política instituída por esta lei deverão ser atualizadas, trimestralmente, pela Secretaria Municipal competente.</w:t>
      </w:r>
    </w:p>
    <w:p w14:paraId="637DCF9B" w14:textId="77777777" w:rsidR="00B90EC3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</w:p>
    <w:p w14:paraId="6C926C3C" w14:textId="63137BF0" w:rsidR="009333D4" w:rsidRPr="001B7BF6" w:rsidRDefault="00B90EC3" w:rsidP="00B90EC3">
      <w:pPr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Art. 6º </w:t>
      </w:r>
      <w:r w:rsidR="00EF2B10">
        <w:rPr>
          <w:rFonts w:ascii="Arial" w:hAnsi="Arial" w:cs="Arial"/>
          <w:sz w:val="22"/>
          <w:szCs w:val="22"/>
        </w:rPr>
        <w:t xml:space="preserve">  </w:t>
      </w:r>
      <w:r w:rsidRPr="001B7BF6">
        <w:rPr>
          <w:rFonts w:ascii="Arial" w:hAnsi="Arial" w:cs="Arial"/>
          <w:sz w:val="22"/>
          <w:szCs w:val="22"/>
        </w:rPr>
        <w:t xml:space="preserve"> Esta Lei entra em vigor 90 dias após sua publicação, revogando-se as disposições em contrário.</w:t>
      </w:r>
    </w:p>
    <w:p w14:paraId="2C071CEC" w14:textId="77777777" w:rsidR="00EF2B10" w:rsidRDefault="00EF2B10" w:rsidP="009333D4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89355C3" w14:textId="77777777" w:rsidR="00EF2B10" w:rsidRDefault="00EF2B10" w:rsidP="009333D4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4F2E76" w14:textId="1C6DBA7A" w:rsidR="008133C9" w:rsidRPr="001B7BF6" w:rsidRDefault="008133C9" w:rsidP="009333D4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B7BF6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EF2B10">
        <w:rPr>
          <w:rFonts w:ascii="Arial" w:hAnsi="Arial" w:cs="Arial"/>
          <w:color w:val="000000"/>
          <w:sz w:val="22"/>
          <w:szCs w:val="22"/>
        </w:rPr>
        <w:t>10</w:t>
      </w:r>
      <w:r w:rsidRPr="001B7BF6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1B7BF6">
        <w:rPr>
          <w:rFonts w:ascii="Arial" w:hAnsi="Arial" w:cs="Arial"/>
          <w:color w:val="000000"/>
          <w:sz w:val="22"/>
          <w:szCs w:val="22"/>
        </w:rPr>
        <w:t>5</w:t>
      </w:r>
      <w:r w:rsidRPr="001B7BF6">
        <w:rPr>
          <w:rFonts w:ascii="Arial" w:hAnsi="Arial" w:cs="Arial"/>
          <w:color w:val="000000"/>
          <w:sz w:val="22"/>
          <w:szCs w:val="22"/>
        </w:rPr>
        <w:t>.</w:t>
      </w:r>
    </w:p>
    <w:p w14:paraId="20B637AA" w14:textId="77777777" w:rsidR="008133C9" w:rsidRPr="001B7BF6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9824396" w14:textId="77777777" w:rsidR="008133C9" w:rsidRPr="001B7BF6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5678843" w14:textId="77777777" w:rsidR="008133C9" w:rsidRPr="001B7BF6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FE36A13" w14:textId="77777777" w:rsidR="008133C9" w:rsidRPr="001B7BF6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B7BF6">
        <w:rPr>
          <w:rFonts w:ascii="Arial" w:hAnsi="Arial" w:cs="Arial"/>
          <w:b/>
          <w:color w:val="000000"/>
          <w:sz w:val="22"/>
          <w:szCs w:val="22"/>
        </w:rPr>
        <w:t>Jefferson Pécori Viana</w:t>
      </w:r>
    </w:p>
    <w:p w14:paraId="62693EC8" w14:textId="77777777" w:rsidR="008133C9" w:rsidRPr="001B7BF6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B7BF6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7A9A5D5D" w14:textId="77777777" w:rsidR="00AD24A2" w:rsidRPr="001B7BF6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0EFCA968" w14:textId="77777777" w:rsidR="008133C9" w:rsidRPr="001B7BF6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DFBAE8F" w14:textId="5260A1C4" w:rsidR="008133C9" w:rsidRPr="001B7BF6" w:rsidRDefault="008133C9" w:rsidP="008133C9">
      <w:pPr>
        <w:jc w:val="right"/>
        <w:rPr>
          <w:rFonts w:ascii="Arial" w:hAnsi="Arial" w:cs="Arial"/>
          <w:b/>
          <w:sz w:val="22"/>
          <w:szCs w:val="22"/>
        </w:rPr>
      </w:pPr>
      <w:r w:rsidRPr="001B7BF6">
        <w:rPr>
          <w:rFonts w:ascii="Arial" w:hAnsi="Arial" w:cs="Arial"/>
          <w:b/>
          <w:sz w:val="22"/>
          <w:szCs w:val="22"/>
        </w:rPr>
        <w:t xml:space="preserve">PROTOCOLO N° </w:t>
      </w:r>
      <w:r w:rsidR="00EF2B10">
        <w:rPr>
          <w:rFonts w:ascii="Arial" w:hAnsi="Arial" w:cs="Arial"/>
          <w:b/>
          <w:sz w:val="22"/>
          <w:szCs w:val="22"/>
        </w:rPr>
        <w:t>1494/</w:t>
      </w:r>
      <w:r w:rsidRPr="001B7BF6">
        <w:rPr>
          <w:rFonts w:ascii="Arial" w:hAnsi="Arial" w:cs="Arial"/>
          <w:b/>
          <w:sz w:val="22"/>
          <w:szCs w:val="22"/>
        </w:rPr>
        <w:t>202</w:t>
      </w:r>
      <w:r w:rsidR="00AD24A2" w:rsidRPr="001B7BF6">
        <w:rPr>
          <w:rFonts w:ascii="Arial" w:hAnsi="Arial" w:cs="Arial"/>
          <w:b/>
          <w:sz w:val="22"/>
          <w:szCs w:val="22"/>
        </w:rPr>
        <w:t>5</w:t>
      </w:r>
    </w:p>
    <w:p w14:paraId="0B646B22" w14:textId="77777777" w:rsidR="008133C9" w:rsidRPr="001B7BF6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66EC042" w14:textId="77777777" w:rsidR="009333D4" w:rsidRPr="001B7BF6" w:rsidRDefault="008133C9" w:rsidP="007807C6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B7BF6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1B7BF6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01D273B4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 xml:space="preserve">O presente projeto de lei tem como objetivo ampliar a transparência na gestão pública do município de Registro/SP, garantindo à população o acesso fácil e rápido às informações sobre obras públicas municipais. A implementação do Código de Barras Bidimensional Quick Response (QR </w:t>
      </w:r>
      <w:proofErr w:type="spellStart"/>
      <w:r w:rsidRPr="001B7BF6">
        <w:rPr>
          <w:rFonts w:ascii="Arial" w:hAnsi="Arial" w:cs="Arial"/>
          <w:sz w:val="22"/>
          <w:szCs w:val="22"/>
        </w:rPr>
        <w:t>Code</w:t>
      </w:r>
      <w:proofErr w:type="spellEnd"/>
      <w:r w:rsidRPr="001B7BF6">
        <w:rPr>
          <w:rFonts w:ascii="Arial" w:hAnsi="Arial" w:cs="Arial"/>
          <w:sz w:val="22"/>
          <w:szCs w:val="22"/>
        </w:rPr>
        <w:t>) nas placas das obras permitirá que qualquer cidadão, por meio de dispositivos móveis, obtenha dados essenciais sobre os projetos em andamento, reforçando a fiscalização social e o controle dos gastos públicos.</w:t>
      </w:r>
    </w:p>
    <w:p w14:paraId="01AD7E10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C9CBBB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A medida propõe uma relação mais próxima e cooperativa entre a administração municipal e a sociedade, fornecendo informações detalhadas como prazos, responsáveis, valores investidos e etapas de execução das obras. Além disso, o projeto reforça a necessidade de divulgar de forma clara os motivos de eventuais paralisações e medidas adotadas para retomada, assegurando a prestação de contas por parte do poder público.</w:t>
      </w:r>
    </w:p>
    <w:p w14:paraId="1399C44F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0CD4F5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A implementação dessa política de transparência segue as diretrizes da Lei Geral de Proteção de Dados (LGPD) e atende ao interesse público, fortalecendo a governança e a credibilidade das ações municipais. Com isso, o município de Registro/SP dá um passo importante para garantir a efetiva participação popular na fiscalização das obras públicas, promovendo uma gestão mais eficiente e acessível a todos.</w:t>
      </w:r>
    </w:p>
    <w:p w14:paraId="40526EB4" w14:textId="77777777" w:rsidR="007807C6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6DD5F8" w14:textId="77777777" w:rsidR="00F23B0F" w:rsidRPr="001B7BF6" w:rsidRDefault="007807C6" w:rsidP="007807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7BF6">
        <w:rPr>
          <w:rFonts w:ascii="Arial" w:hAnsi="Arial" w:cs="Arial"/>
          <w:sz w:val="22"/>
          <w:szCs w:val="22"/>
        </w:rPr>
        <w:t>Dessa forma, considerando os benefícios da presente iniciativa para a transparência e a participação social, solicito o apoio dos nobres pares para a aprovação deste projeto de lei.</w:t>
      </w:r>
    </w:p>
    <w:sectPr w:rsidR="00F23B0F" w:rsidRPr="001B7BF6">
      <w:headerReference w:type="default" r:id="rId8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F4FD" w14:textId="77777777" w:rsidR="00FA69DF" w:rsidRDefault="00FA69DF">
      <w:r>
        <w:separator/>
      </w:r>
    </w:p>
  </w:endnote>
  <w:endnote w:type="continuationSeparator" w:id="0">
    <w:p w14:paraId="12AE68DA" w14:textId="77777777" w:rsidR="00FA69DF" w:rsidRDefault="00FA69DF">
      <w:r>
        <w:continuationSeparator/>
      </w:r>
    </w:p>
  </w:endnote>
  <w:endnote w:type="continuationNotice" w:id="1">
    <w:p w14:paraId="3E69CDD8" w14:textId="77777777" w:rsidR="00FA69DF" w:rsidRDefault="00FA6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BB0E" w14:textId="77777777" w:rsidR="00FA69DF" w:rsidRDefault="00FA69DF">
      <w:r>
        <w:separator/>
      </w:r>
    </w:p>
  </w:footnote>
  <w:footnote w:type="continuationSeparator" w:id="0">
    <w:p w14:paraId="2F6ECF69" w14:textId="77777777" w:rsidR="00FA69DF" w:rsidRDefault="00FA69DF">
      <w:r>
        <w:continuationSeparator/>
      </w:r>
    </w:p>
  </w:footnote>
  <w:footnote w:type="continuationNotice" w:id="1">
    <w:p w14:paraId="2BE5F281" w14:textId="77777777" w:rsidR="00FA69DF" w:rsidRDefault="00FA6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6944" w14:textId="77777777" w:rsidR="001B7BF6" w:rsidRDefault="001B7BF6" w:rsidP="001B7BF6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9264" behindDoc="0" locked="0" layoutInCell="1" allowOverlap="1" wp14:anchorId="664CBF16" wp14:editId="294BA5C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622B321" wp14:editId="0C3EE6E9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3175" t="15240" r="1905" b="11430"/>
              <wp:wrapNone/>
              <wp:docPr id="1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61AC02" w14:textId="77777777" w:rsidR="001B7BF6" w:rsidRDefault="001B7BF6" w:rsidP="001B7BF6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45EAE4" w14:textId="77777777" w:rsidR="001B7BF6" w:rsidRDefault="001B7BF6" w:rsidP="001B7BF6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6BBF8" w14:textId="77777777" w:rsidR="001B7BF6" w:rsidRDefault="001B7BF6" w:rsidP="001B7BF6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2B321" id="Forma1" o:spid="_x0000_s1026" style="position:absolute;left:0;text-align:left;margin-left:415.75pt;margin-top:20.7pt;width:91.85pt;height:61.65pt;z-index:251660288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0961AC02" w14:textId="77777777" w:rsidR="001B7BF6" w:rsidRDefault="001B7BF6" w:rsidP="001B7BF6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FDwwAAANoAAAAPAAAAZHJzL2Rvd25yZXYueG1sRI9Pi8Iw&#10;FMTvC36H8AQvZU0VV6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NziRQ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2A45EAE4" w14:textId="77777777" w:rsidR="001B7BF6" w:rsidRDefault="001B7BF6" w:rsidP="001B7BF6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5A06BBF8" w14:textId="77777777" w:rsidR="001B7BF6" w:rsidRDefault="001B7BF6" w:rsidP="001B7BF6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16C14CC" w14:textId="77777777" w:rsidR="001B7BF6" w:rsidRDefault="001B7BF6" w:rsidP="001B7BF6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4A668756" w14:textId="77777777" w:rsidR="001B7BF6" w:rsidRDefault="001B7BF6" w:rsidP="001B7BF6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– Centro – Registro (SP) - CEP: 11.900-000</w:t>
    </w:r>
  </w:p>
  <w:p w14:paraId="5A62D50B" w14:textId="77777777" w:rsidR="001B7BF6" w:rsidRDefault="001B7BF6" w:rsidP="001B7BF6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13 )  3828-1100</w:t>
    </w:r>
  </w:p>
  <w:p w14:paraId="1C93E8EE" w14:textId="77777777" w:rsidR="001B7BF6" w:rsidRDefault="001B7BF6" w:rsidP="001B7BF6">
    <w:pPr>
      <w:ind w:left="1680"/>
      <w:jc w:val="center"/>
    </w:pPr>
    <w:r>
      <w:rPr>
        <w:rFonts w:ascii="Georgia" w:hAnsi="Georgia" w:cs="Georgia"/>
        <w:iCs/>
        <w:sz w:val="18"/>
        <w:lang w:val="de-DE"/>
      </w:rPr>
      <w:t>www.registro.sp.leg.br</w:t>
    </w:r>
  </w:p>
  <w:p w14:paraId="715BB572" w14:textId="77777777" w:rsidR="001B7BF6" w:rsidRDefault="001B7BF6" w:rsidP="001B7BF6">
    <w:pPr>
      <w:pStyle w:val="Cabealho"/>
      <w:rPr>
        <w:rFonts w:ascii="Georgia" w:hAnsi="Georgia" w:cs="Georgia"/>
        <w:iCs/>
        <w:sz w:val="18"/>
        <w:lang w:val="de-DE"/>
      </w:rPr>
    </w:pPr>
  </w:p>
  <w:p w14:paraId="194CE38D" w14:textId="77777777" w:rsidR="00F23B0F" w:rsidRPr="001B7BF6" w:rsidRDefault="00F23B0F" w:rsidP="001B7B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7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1025D3"/>
    <w:rsid w:val="00115B37"/>
    <w:rsid w:val="001B7BF6"/>
    <w:rsid w:val="001D1DD5"/>
    <w:rsid w:val="00222E12"/>
    <w:rsid w:val="002E3579"/>
    <w:rsid w:val="003A60ED"/>
    <w:rsid w:val="004735DF"/>
    <w:rsid w:val="00484CA6"/>
    <w:rsid w:val="005E1CF7"/>
    <w:rsid w:val="007807C6"/>
    <w:rsid w:val="00811209"/>
    <w:rsid w:val="008133C9"/>
    <w:rsid w:val="00900E40"/>
    <w:rsid w:val="009333D4"/>
    <w:rsid w:val="009A0697"/>
    <w:rsid w:val="00A05831"/>
    <w:rsid w:val="00A3345D"/>
    <w:rsid w:val="00AD24A2"/>
    <w:rsid w:val="00B54646"/>
    <w:rsid w:val="00B90EC3"/>
    <w:rsid w:val="00C2536E"/>
    <w:rsid w:val="00D82348"/>
    <w:rsid w:val="00EF2B10"/>
    <w:rsid w:val="00EF5AEB"/>
    <w:rsid w:val="00F23B0F"/>
    <w:rsid w:val="00F52463"/>
    <w:rsid w:val="00F850DF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7022D9"/>
  <w15:chartTrackingRefBased/>
  <w15:docId w15:val="{0765BEF6-C857-4B49-A88E-66DB37F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customStyle="1" w:styleId="DefaultParagraphFont">
    <w:name w:val="Default Paragraph Font"/>
  </w:style>
  <w:style w:type="character" w:default="1" w:styleId="Hyperlink">
    <w:name w:val="Hyperlink"/>
    <w:rPr>
      <w:color w:val="0000FF"/>
      <w:u w:val="single"/>
    </w:rPr>
  </w:style>
  <w:style w:type="character" w:default="1" w:customStyle="1" w:styleId="CabealhoChar">
    <w:name w:val="Cabeçalho Char"/>
  </w:style>
  <w:style w:type="character" w:customStyle="1" w:styleId="RodapChar">
    <w:name w:val="Rodapé Char"/>
    <w:basedOn w:val="DefaultParagraphFont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DefaultParagraphFont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envelopereturn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Spacing">
    <w:name w:val="No Spacing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BodyTextIndent2">
    <w:name w:val="Body Text Indent 2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ECB7-5434-4275-9578-3A53FC1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3</cp:revision>
  <cp:lastPrinted>2025-02-10T18:23:00Z</cp:lastPrinted>
  <dcterms:created xsi:type="dcterms:W3CDTF">2025-02-10T18:04:00Z</dcterms:created>
  <dcterms:modified xsi:type="dcterms:W3CDTF">2025-02-10T18:23:00Z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