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BB7D9B" w14:textId="77777777" w:rsidR="00000000" w:rsidRDefault="00000000">
      <w:pPr>
        <w:jc w:val="right"/>
        <w:rPr>
          <w:rFonts w:ascii="Arial" w:hAnsi="Arial" w:cs="Arial"/>
          <w:b/>
          <w:szCs w:val="22"/>
        </w:rPr>
      </w:pPr>
    </w:p>
    <w:p w14:paraId="78CE4AF1" w14:textId="121AAAE8" w:rsidR="00000000" w:rsidRDefault="00000000">
      <w:pPr>
        <w:jc w:val="right"/>
      </w:pPr>
      <w:r>
        <w:rPr>
          <w:rFonts w:ascii="Arial" w:hAnsi="Arial" w:cs="Arial"/>
          <w:b/>
          <w:szCs w:val="22"/>
        </w:rPr>
        <w:fldChar w:fldCharType="begin"/>
      </w:r>
      <w:r>
        <w:rPr>
          <w:rFonts w:ascii="Arial" w:hAnsi="Arial" w:cs="Arial"/>
          <w:b/>
          <w:szCs w:val="22"/>
        </w:rPr>
        <w:instrText xml:space="preserve"> MERGEFIELD DESCTIPOPROP </w:instrText>
      </w:r>
      <w:r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szCs w:val="22"/>
        </w:rPr>
        <w:t>Projeto</w:t>
      </w:r>
      <w:r>
        <w:rPr>
          <w:rFonts w:ascii="Arial" w:hAnsi="Arial" w:cs="Arial"/>
          <w:b/>
          <w:szCs w:val="22"/>
        </w:rPr>
        <w:fldChar w:fldCharType="end"/>
      </w:r>
      <w:r>
        <w:rPr>
          <w:rFonts w:ascii="Arial" w:eastAsia="Arial" w:hAnsi="Arial" w:cs="Arial"/>
          <w:b/>
          <w:szCs w:val="22"/>
        </w:rPr>
        <w:t xml:space="preserve">  </w:t>
      </w:r>
      <w:r>
        <w:rPr>
          <w:rFonts w:ascii="Arial" w:hAnsi="Arial" w:cs="Arial"/>
          <w:b/>
          <w:szCs w:val="22"/>
        </w:rPr>
        <w:t xml:space="preserve">de Resolução n°  </w:t>
      </w:r>
      <w:r w:rsidR="004D19A1">
        <w:rPr>
          <w:rFonts w:ascii="Arial" w:hAnsi="Arial" w:cs="Arial"/>
          <w:b/>
          <w:szCs w:val="22"/>
        </w:rPr>
        <w:t>07</w:t>
      </w:r>
      <w:r>
        <w:rPr>
          <w:rFonts w:ascii="Arial" w:hAnsi="Arial" w:cs="Arial"/>
          <w:b/>
          <w:szCs w:val="22"/>
        </w:rPr>
        <w:t>/2024</w:t>
      </w:r>
    </w:p>
    <w:p w14:paraId="1D1E0321" w14:textId="77777777" w:rsidR="00000000" w:rsidRDefault="00000000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36ABAF8" w14:textId="77777777" w:rsidR="00000000" w:rsidRDefault="0000000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93757D" w14:textId="77777777" w:rsidR="00000000" w:rsidRDefault="0000000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0F1B7F" w14:textId="77777777" w:rsidR="00000000" w:rsidRDefault="00000000">
      <w:pPr>
        <w:tabs>
          <w:tab w:val="left" w:pos="4320"/>
          <w:tab w:val="left" w:pos="9540"/>
          <w:tab w:val="left" w:pos="10620"/>
        </w:tabs>
        <w:ind w:left="4536" w:right="22"/>
        <w:jc w:val="both"/>
      </w:pPr>
      <w:r>
        <w:rPr>
          <w:rFonts w:ascii="Arial" w:hAnsi="Arial" w:cs="Arial"/>
        </w:rPr>
        <w:t>Dispõe sobre a criação do Grupo Permanente de Trabalho sobre o Transtorno do Espectro Autista e outros Transtornos (GT-TEA), no âmbito da Câmara Municipal de Registro e dá outras providências.</w:t>
      </w:r>
    </w:p>
    <w:p w14:paraId="129E9DDF" w14:textId="77777777" w:rsidR="00000000" w:rsidRDefault="00000000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6A1B3978" w14:textId="77777777" w:rsidR="00000000" w:rsidRDefault="00000000">
      <w:pPr>
        <w:jc w:val="both"/>
        <w:rPr>
          <w:rFonts w:ascii="Arial" w:hAnsi="Arial" w:cs="Arial"/>
          <w:sz w:val="22"/>
          <w:szCs w:val="22"/>
        </w:rPr>
      </w:pPr>
    </w:p>
    <w:p w14:paraId="3178990C" w14:textId="77777777" w:rsidR="0000000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</w:pPr>
      <w:r>
        <w:rPr>
          <w:rFonts w:ascii="Arial" w:hAnsi="Arial" w:cs="Arial"/>
        </w:rPr>
        <w:t>A Câmara Municipal de Registro RESOLVE:</w:t>
      </w:r>
    </w:p>
    <w:p w14:paraId="7A941CC6" w14:textId="77777777" w:rsidR="00000000" w:rsidRDefault="00000000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</w:rPr>
      </w:pPr>
    </w:p>
    <w:p w14:paraId="1F20D9B5" w14:textId="4DC2F9F2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Art. 1º </w:t>
      </w:r>
      <w:r w:rsidR="007E3743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Fica criado no âmbito da Câmara Municipal de Registro o Grupo Permanente de Tra</w:t>
      </w:r>
      <w:r>
        <w:rPr>
          <w:rStyle w:val="Forte"/>
          <w:rFonts w:ascii="Arial" w:hAnsi="Arial" w:cs="Arial"/>
          <w:b w:val="0"/>
          <w:color w:val="000000"/>
          <w:spacing w:val="2"/>
          <w:bdr w:val="none" w:sz="0" w:space="0" w:color="000000"/>
        </w:rPr>
        <w:t xml:space="preserve">balho sobre o Transtorno do Espectro Autista e outros Transtornos (GT-TEA), composta por Vereadores e convidados, com a atribuição de </w:t>
      </w:r>
      <w:r>
        <w:rPr>
          <w:rStyle w:val="Forte"/>
          <w:rFonts w:ascii="Arial" w:hAnsi="Arial" w:cs="Arial"/>
          <w:b w:val="0"/>
          <w:color w:val="000000"/>
          <w:bdr w:val="none" w:sz="0" w:space="0" w:color="000000"/>
        </w:rPr>
        <w:t xml:space="preserve">acompanhar, fiscalizar e implementar ações necessárias para a defesa e proteção dos direitos das pessoas com TEA, atuando junto a serviços e ofertas das políticas públicas, organizações da sociedade civil, órgãos e funções essenciais </w:t>
      </w:r>
      <w:r>
        <w:rPr>
          <w:rStyle w:val="Forte"/>
          <w:rFonts w:ascii="Arial" w:hAnsi="Arial" w:cs="Arial"/>
          <w:b w:val="0"/>
          <w:color w:val="000000"/>
          <w:spacing w:val="2"/>
          <w:bdr w:val="none" w:sz="0" w:space="0" w:color="000000"/>
        </w:rPr>
        <w:t xml:space="preserve">na cidade de Registro. </w:t>
      </w:r>
    </w:p>
    <w:p w14:paraId="4A4CBF4F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§ 1º   O GT-TEA contará com o suporte técnico da estrutura da Câmara Municipal de Registro. </w:t>
      </w:r>
    </w:p>
    <w:p w14:paraId="7D540945" w14:textId="1E00515A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Art. 2º </w:t>
      </w:r>
      <w:r w:rsidR="007E3743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O GT-TEA será constituído de 03 vereadores titulares e 03 suplentes, nomeados pelo Presidente da Câmara Municipal, a cada 02 (dois) anos, no início da legislatura. Também farão parte do GT-TEA 03 representantes do poder Executivo Municipal, e 03 representantes a serem convidados (Poder Judiciário, Sociedade Civil e Terceiro Setor).</w:t>
      </w:r>
    </w:p>
    <w:p w14:paraId="1BF49886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§ 1º  Poderão ser convidados para a participação do GT-TEA secretários, diretores ou representantes dos órgãos públicos municipais relacionados às pautas do Transtorno do Espectro Autista e da Pessoa com Deficiência, assim como membros representantes do Poder Judiciário, Sociedade Civil e Terceiro Setor.</w:t>
      </w:r>
    </w:p>
    <w:p w14:paraId="118C1B48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§ 2º  Os mandatos acompanharão a periodicidade da eleição da Mesa Diretora.</w:t>
      </w:r>
    </w:p>
    <w:p w14:paraId="46FF6163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§ 3º  A definição da composição do Grupo Permanente de Trabalho (GT-TEA) deverá ser feita por consenso dentre os Vereadores da legislatura ou por votação entre os Vereadores, no início de cada legislatura.</w:t>
      </w:r>
    </w:p>
    <w:p w14:paraId="4E47F0B3" w14:textId="13302B3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Art. 3º </w:t>
      </w:r>
      <w:r w:rsidR="007E3743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Compete ao Grupo Permanente de Tra</w:t>
      </w:r>
      <w:r>
        <w:rPr>
          <w:rStyle w:val="Forte"/>
          <w:rFonts w:ascii="Arial" w:hAnsi="Arial" w:cs="Arial"/>
          <w:b w:val="0"/>
          <w:color w:val="000000"/>
          <w:spacing w:val="2"/>
          <w:bdr w:val="none" w:sz="0" w:space="0" w:color="000000"/>
        </w:rPr>
        <w:t>balho sobre o Transtorno do Espectro Autista e outros Transtornos (GT-TEA)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:</w:t>
      </w:r>
    </w:p>
    <w:p w14:paraId="38E9E5C9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I – receber, examinar e encaminhar aos órgãos competentes denúncias relacionadas </w:t>
      </w:r>
    </w:p>
    <w:p w14:paraId="002112EF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lastRenderedPageBreak/>
        <w:t>II – fiscalizar e acompanhar a execução de programas do governo que relacionados às políticas públicas direcionadas ao TEA e outros Transtornos, assim como a implementação de campanhas educativas e de sensibilização no âmbito municipal;</w:t>
      </w:r>
    </w:p>
    <w:p w14:paraId="0FE0162C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III – promover audiências públicas, cursos, seminários, palestras, convenções destinados à sensibilização e debate sobre a pauta do Autismo e demais Transtornos; </w:t>
      </w:r>
    </w:p>
    <w:p w14:paraId="22BF4412" w14:textId="77777777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IV – organizar e divulgar a legislação relativa aos direitos dos Autistas e demais Transtornos, assim como zelar pelo seu cumprimento;</w:t>
      </w:r>
    </w:p>
    <w:p w14:paraId="1EA31D38" w14:textId="445B3B4E" w:rsidR="00000000" w:rsidRDefault="00000000">
      <w:pPr>
        <w:pStyle w:val="NormalWeb"/>
        <w:shd w:val="clear" w:color="auto" w:fill="FFFFFF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Art. 4° </w:t>
      </w:r>
      <w:r w:rsidR="007E3743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Toda iniciativa provocada ou implementada pelo GT-TEA terá ampla divulgação pelo órgão de comunicação da Câmara Municipal.</w:t>
      </w:r>
    </w:p>
    <w:p w14:paraId="72A4BF9D" w14:textId="20907D35" w:rsidR="00000000" w:rsidRDefault="00000000">
      <w:pPr>
        <w:pStyle w:val="NormalWeb"/>
        <w:shd w:val="clear" w:color="auto" w:fill="FFFFFF"/>
        <w:spacing w:before="0" w:after="0"/>
        <w:jc w:val="both"/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Art. 5° </w:t>
      </w:r>
      <w:r w:rsidR="007E3743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 presente resolução entra em vigor na data de sua publicação, com a nomeação imediata dos vereadores componentes.</w:t>
      </w:r>
    </w:p>
    <w:p w14:paraId="3557D4CF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058BDCE6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61A612E8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3B3046B1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14CA2B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269CB39B" w14:textId="2BA7EF53" w:rsidR="00000000" w:rsidRDefault="00000000">
      <w:pPr>
        <w:jc w:val="center"/>
      </w:pPr>
      <w:r>
        <w:rPr>
          <w:rFonts w:ascii="Arial" w:hAnsi="Arial" w:cs="Arial"/>
        </w:rPr>
        <w:t xml:space="preserve">Plenário “Vereador Daniel das Neves”, </w:t>
      </w:r>
      <w:r w:rsidR="007E374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setembro de 2024.</w:t>
      </w:r>
    </w:p>
    <w:p w14:paraId="64A30EEF" w14:textId="77777777" w:rsidR="00000000" w:rsidRDefault="00000000">
      <w:pPr>
        <w:jc w:val="center"/>
      </w:pPr>
    </w:p>
    <w:p w14:paraId="5E80C78E" w14:textId="77777777" w:rsidR="00000000" w:rsidRDefault="00000000">
      <w:pPr>
        <w:jc w:val="center"/>
      </w:pPr>
    </w:p>
    <w:p w14:paraId="0D747F89" w14:textId="77777777" w:rsidR="00000000" w:rsidRDefault="00000000">
      <w:pPr>
        <w:jc w:val="center"/>
        <w:rPr>
          <w:rFonts w:ascii="Arial" w:hAnsi="Arial" w:cs="Arial"/>
        </w:rPr>
      </w:pPr>
    </w:p>
    <w:p w14:paraId="1E246727" w14:textId="77777777" w:rsidR="007E3743" w:rsidRDefault="007E3743">
      <w:pPr>
        <w:jc w:val="center"/>
        <w:rPr>
          <w:rFonts w:ascii="Arial" w:hAnsi="Arial" w:cs="Arial"/>
        </w:rPr>
      </w:pPr>
    </w:p>
    <w:p w14:paraId="494D624B" w14:textId="77777777" w:rsidR="00000000" w:rsidRDefault="00000000">
      <w:pPr>
        <w:jc w:val="both"/>
        <w:rPr>
          <w:rFonts w:ascii="Arial" w:hAnsi="Arial" w:cs="Arial"/>
        </w:rPr>
      </w:pPr>
    </w:p>
    <w:p w14:paraId="38C0A193" w14:textId="77777777" w:rsidR="00000000" w:rsidRDefault="00000000">
      <w:pPr>
        <w:jc w:val="center"/>
      </w:pPr>
      <w:r>
        <w:rPr>
          <w:rFonts w:ascii="Arial" w:hAnsi="Arial" w:cs="Arial"/>
          <w:b/>
        </w:rPr>
        <w:t>Fabio Cardoso Junior</w:t>
      </w:r>
    </w:p>
    <w:p w14:paraId="5103656F" w14:textId="77777777" w:rsidR="00000000" w:rsidRDefault="00000000">
      <w:pPr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0A5735C9" w14:textId="77777777" w:rsidR="00000000" w:rsidRDefault="00000000">
      <w:pPr>
        <w:jc w:val="center"/>
        <w:rPr>
          <w:rFonts w:ascii="Arial" w:hAnsi="Arial" w:cs="Arial"/>
          <w:b/>
          <w:color w:val="000000"/>
        </w:rPr>
      </w:pPr>
    </w:p>
    <w:p w14:paraId="5C325D4C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8077F21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EB7070E" w14:textId="77777777" w:rsidR="00000000" w:rsidRDefault="00000000">
      <w:pPr>
        <w:jc w:val="center"/>
      </w:pPr>
      <w:r>
        <w:rPr>
          <w:rFonts w:ascii="Arial" w:hAnsi="Arial" w:cs="Arial"/>
          <w:b/>
        </w:rPr>
        <w:t>Vander Lopes Pedroso</w:t>
      </w:r>
    </w:p>
    <w:p w14:paraId="5E969646" w14:textId="77777777" w:rsidR="00000000" w:rsidRDefault="00000000">
      <w:pPr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520FF4BD" w14:textId="77777777" w:rsidR="00000000" w:rsidRDefault="00000000">
      <w:pPr>
        <w:jc w:val="center"/>
        <w:rPr>
          <w:rFonts w:ascii="Arial" w:hAnsi="Arial" w:cs="Arial"/>
          <w:b/>
          <w:color w:val="000000"/>
        </w:rPr>
      </w:pPr>
    </w:p>
    <w:p w14:paraId="6BF2521E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05082F18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92CD36C" w14:textId="77777777" w:rsidR="00000000" w:rsidRDefault="00000000">
      <w:pPr>
        <w:jc w:val="center"/>
      </w:pPr>
      <w:r>
        <w:rPr>
          <w:rFonts w:ascii="Arial" w:hAnsi="Arial" w:cs="Arial"/>
          <w:b/>
        </w:rPr>
        <w:t>Inês Sati Okuyama Kawamoto</w:t>
      </w:r>
    </w:p>
    <w:p w14:paraId="57B7AB21" w14:textId="77777777" w:rsidR="00000000" w:rsidRDefault="000000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Vereadora</w:t>
      </w:r>
    </w:p>
    <w:p w14:paraId="6D94C18B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552FA8D9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5A979AD" w14:textId="0DF3D5D7" w:rsidR="007E3743" w:rsidRPr="00E139CF" w:rsidRDefault="007E3743" w:rsidP="007E3743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39CF">
        <w:rPr>
          <w:rFonts w:ascii="Arial" w:hAnsi="Arial" w:cs="Arial"/>
          <w:b/>
          <w:color w:val="000000"/>
          <w:sz w:val="22"/>
          <w:szCs w:val="22"/>
        </w:rPr>
        <w:t xml:space="preserve">PROTOCOLO N°  </w:t>
      </w:r>
      <w:r w:rsidR="004D19A1">
        <w:rPr>
          <w:rFonts w:ascii="Arial" w:hAnsi="Arial" w:cs="Arial"/>
          <w:b/>
          <w:color w:val="000000"/>
          <w:sz w:val="22"/>
          <w:szCs w:val="22"/>
        </w:rPr>
        <w:t>1852</w:t>
      </w:r>
      <w:r w:rsidRPr="00E139CF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2024</w:t>
      </w:r>
    </w:p>
    <w:p w14:paraId="214A97AD" w14:textId="77777777" w:rsidR="007E3743" w:rsidRDefault="007E3743">
      <w:pPr>
        <w:jc w:val="center"/>
      </w:pPr>
    </w:p>
    <w:p w14:paraId="3C2CE31C" w14:textId="77777777" w:rsidR="00000000" w:rsidRDefault="00000000">
      <w:pPr>
        <w:pageBreakBefore/>
        <w:jc w:val="center"/>
      </w:pPr>
      <w:r>
        <w:rPr>
          <w:rFonts w:ascii="Arial" w:hAnsi="Arial" w:cs="Arial"/>
          <w:b/>
        </w:rPr>
        <w:lastRenderedPageBreak/>
        <w:t>JUSTIFICATIVA:</w:t>
      </w:r>
    </w:p>
    <w:p w14:paraId="21118603" w14:textId="77777777" w:rsidR="00000000" w:rsidRDefault="00000000">
      <w:pPr>
        <w:jc w:val="center"/>
        <w:rPr>
          <w:rFonts w:ascii="Arial" w:hAnsi="Arial" w:cs="Arial"/>
          <w:b/>
        </w:rPr>
      </w:pPr>
    </w:p>
    <w:p w14:paraId="384ED697" w14:textId="77777777" w:rsidR="00000000" w:rsidRDefault="00000000">
      <w:pPr>
        <w:jc w:val="both"/>
        <w:rPr>
          <w:rFonts w:ascii="Arial" w:hAnsi="Arial" w:cs="Arial"/>
          <w:b/>
        </w:rPr>
      </w:pPr>
    </w:p>
    <w:p w14:paraId="438B2CDB" w14:textId="77777777" w:rsidR="00000000" w:rsidRDefault="00000000">
      <w:pPr>
        <w:pStyle w:val="Corpodetexto"/>
        <w:jc w:val="both"/>
      </w:pPr>
      <w:r>
        <w:rPr>
          <w:rFonts w:ascii="Arial" w:hAnsi="Arial"/>
        </w:rPr>
        <w:tab/>
      </w:r>
    </w:p>
    <w:p w14:paraId="4D44AAC5" w14:textId="77777777" w:rsidR="00000000" w:rsidRDefault="00000000">
      <w:pPr>
        <w:pStyle w:val="Corpodetexto"/>
        <w:jc w:val="both"/>
      </w:pPr>
      <w:r>
        <w:rPr>
          <w:rFonts w:ascii="Arial" w:hAnsi="Arial"/>
        </w:rPr>
        <w:tab/>
        <w:t>Essa iniciativa é uma resposta da Câmara Municipal a uma demanda social trazida  pelas próprias famílias e movimentos em defesa de pessoas autistas, além dos demais órgãos atuantes na pauta.</w:t>
      </w:r>
    </w:p>
    <w:p w14:paraId="5E581FE8" w14:textId="77777777" w:rsidR="00000000" w:rsidRDefault="00000000">
      <w:pPr>
        <w:pStyle w:val="Corpodetexto"/>
        <w:jc w:val="both"/>
      </w:pPr>
      <w:r>
        <w:rPr>
          <w:rFonts w:ascii="Arial" w:hAnsi="Arial"/>
        </w:rPr>
        <w:tab/>
        <w:t>Recebemos as famílias frequentemente e nos comprometemos a tomar uma atitude para que esse assunto fosse tratado de forma permanente e com o máximo comprometimento da instituição. Este Grupo de Trabalho dá cumprimento ao compromisso firmado, e também garante a continuidade do debate importantíssimo que visa assegurar a defesa dos direitos dos Autistas e pessoas com demais transtornos.</w:t>
      </w:r>
    </w:p>
    <w:p w14:paraId="75CCE709" w14:textId="77777777" w:rsidR="00000000" w:rsidRDefault="00000000">
      <w:pPr>
        <w:pStyle w:val="Corpodetexto"/>
        <w:jc w:val="both"/>
      </w:pPr>
      <w:r>
        <w:rPr>
          <w:rFonts w:ascii="Arial" w:hAnsi="Arial"/>
        </w:rPr>
        <w:tab/>
        <w:t>Entre suas atribuições, o GT-TEA deve atuar no diálogo interinstitucional visando a implementação e execução da política municipal de proteção dos direitos da pessoa com Transtorno do Espectro Autista, além de acompanhar as políticas relacionadas à temática do TEA desde a formulação, normatização, validação, e inclusão no orçamento público estadual e municipal.</w:t>
      </w:r>
    </w:p>
    <w:p w14:paraId="50C849B7" w14:textId="77777777" w:rsidR="00000000" w:rsidRDefault="00000000">
      <w:pPr>
        <w:jc w:val="both"/>
        <w:rPr>
          <w:rFonts w:ascii="Arial" w:hAnsi="Arial"/>
        </w:rPr>
      </w:pPr>
    </w:p>
    <w:p w14:paraId="2EC0DEA7" w14:textId="77777777" w:rsidR="00000000" w:rsidRDefault="00000000" w:rsidP="004D19A1">
      <w:pPr>
        <w:ind w:firstLine="708"/>
        <w:jc w:val="both"/>
      </w:pPr>
      <w:r>
        <w:rPr>
          <w:rFonts w:ascii="Arial" w:hAnsi="Arial"/>
        </w:rPr>
        <w:t>Esta Casa de Leis poderá dar uma contribuição decisiva para a consolidação das políticas públicas voltadas para o Autismo e demais Transtornos e assim, cumprir sua função democrática.</w:t>
      </w:r>
    </w:p>
    <w:p w14:paraId="382A7918" w14:textId="77777777" w:rsidR="00000000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74720C" w14:textId="77777777" w:rsidR="00AF78F1" w:rsidRDefault="00AF7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F78F1">
      <w:headerReference w:type="default" r:id="rId7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36D1" w14:textId="77777777" w:rsidR="00AF78F1" w:rsidRDefault="00AF78F1">
      <w:r>
        <w:separator/>
      </w:r>
    </w:p>
  </w:endnote>
  <w:endnote w:type="continuationSeparator" w:id="0">
    <w:p w14:paraId="49C76798" w14:textId="77777777" w:rsidR="00AF78F1" w:rsidRDefault="00AF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Calibr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4A6B" w14:textId="77777777" w:rsidR="00AF78F1" w:rsidRDefault="00AF78F1">
      <w:r>
        <w:separator/>
      </w:r>
    </w:p>
  </w:footnote>
  <w:footnote w:type="continuationSeparator" w:id="0">
    <w:p w14:paraId="72A87138" w14:textId="77777777" w:rsidR="00AF78F1" w:rsidRDefault="00AF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6CF5" w14:textId="5267C0DA" w:rsidR="00000000" w:rsidRDefault="004D19A1">
    <w:pPr>
      <w:keepNext/>
      <w:ind w:left="1680"/>
      <w:jc w:val="center"/>
      <w:outlineLvl w:val="1"/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3A11F0D9" wp14:editId="30E81483">
              <wp:simplePos x="0" y="0"/>
              <wp:positionH relativeFrom="column">
                <wp:posOffset>5523230</wp:posOffset>
              </wp:positionH>
              <wp:positionV relativeFrom="paragraph">
                <wp:posOffset>262255</wp:posOffset>
              </wp:positionV>
              <wp:extent cx="1166495" cy="782955"/>
              <wp:effectExtent l="0" t="0" r="0" b="0"/>
              <wp:wrapNone/>
              <wp:docPr id="24435894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FDFE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474C4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DE38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1F0D9" id="Agrupar 2" o:spid="_x0000_s1026" style="position:absolute;left:0;text-align:left;margin-left:434.9pt;margin-top:20.65pt;width:91.85pt;height:61.65pt;z-index:251659776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C7FDFE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EE474C4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2DE38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935" distR="114935" simplePos="0" relativeHeight="251657728" behindDoc="0" locked="0" layoutInCell="1" allowOverlap="1" wp14:anchorId="35E9D7D1" wp14:editId="7B57165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2835" cy="1142365"/>
          <wp:effectExtent l="0" t="0" r="0" b="0"/>
          <wp:wrapNone/>
          <wp:docPr id="16702717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0" r="-2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F5BE9B" w14:textId="77777777" w:rsidR="0000000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229E24B7" w14:textId="77777777" w:rsidR="0000000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27F3433E" w14:textId="77777777" w:rsidR="0000000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3A67754B" w14:textId="77777777" w:rsidR="0000000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E0B9AEF" w14:textId="77777777" w:rsidR="00000000" w:rsidRDefault="0000000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8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45"/>
    <w:rsid w:val="004D19A1"/>
    <w:rsid w:val="007E3743"/>
    <w:rsid w:val="00AF78F1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261C49"/>
  <w15:chartTrackingRefBased/>
  <w15:docId w15:val="{9BFEE49A-F9E5-4456-A675-1539E80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Meno">
    <w:name w:val="Mention"/>
    <w:rPr>
      <w:color w:val="2B579A"/>
      <w:shd w:val="clear" w:color="auto" w:fill="E6E6E6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2</cp:revision>
  <cp:lastPrinted>2017-12-07T18:01:00Z</cp:lastPrinted>
  <dcterms:created xsi:type="dcterms:W3CDTF">2024-09-11T12:42:00Z</dcterms:created>
  <dcterms:modified xsi:type="dcterms:W3CDTF">2024-09-11T12:42:00Z</dcterms:modified>
</cp:coreProperties>
</file>