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1FFF" w:rsidRDefault="00217766">
      <w:pPr>
        <w:ind w:left="0" w:hanging="2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Indicação n</w:t>
      </w:r>
      <w:r w:rsidR="00000000">
        <w:rPr>
          <w:rFonts w:ascii="Arial" w:eastAsia="Arial" w:hAnsi="Arial" w:cs="Arial"/>
          <w:b/>
          <w:sz w:val="24"/>
          <w:szCs w:val="24"/>
        </w:rPr>
        <w:t>°</w:t>
      </w:r>
      <w:r>
        <w:rPr>
          <w:rFonts w:ascii="Arial" w:eastAsia="Arial" w:hAnsi="Arial" w:cs="Arial"/>
          <w:b/>
          <w:sz w:val="24"/>
          <w:szCs w:val="24"/>
        </w:rPr>
        <w:t xml:space="preserve"> 90</w:t>
      </w:r>
      <w:r w:rsidR="00000000">
        <w:rPr>
          <w:rFonts w:ascii="Arial" w:eastAsia="Arial" w:hAnsi="Arial" w:cs="Arial"/>
          <w:b/>
          <w:sz w:val="24"/>
          <w:szCs w:val="24"/>
        </w:rPr>
        <w:t>/2023</w:t>
      </w:r>
    </w:p>
    <w:p w:rsidR="00A41FFF" w:rsidRDefault="00A41FFF">
      <w:pPr>
        <w:ind w:left="0" w:hanging="2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A41FFF" w:rsidRDefault="00A41FFF" w:rsidP="00217766">
      <w:pPr>
        <w:ind w:leftChars="0" w:left="0" w:firstLineChars="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A41FFF" w:rsidRDefault="00000000">
      <w:pPr>
        <w:ind w:left="0" w:hanging="2"/>
        <w:jc w:val="both"/>
      </w:pPr>
      <w:r>
        <w:rPr>
          <w:rFonts w:ascii="Arial" w:eastAsia="Arial" w:hAnsi="Arial" w:cs="Arial"/>
          <w:b/>
          <w:color w:val="000000"/>
          <w:sz w:val="24"/>
          <w:szCs w:val="24"/>
        </w:rPr>
        <w:t>Senhor Presidente,</w:t>
      </w:r>
    </w:p>
    <w:p w:rsidR="00A41FFF" w:rsidRDefault="00A41FFF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A41FFF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150" w:line="360" w:lineRule="auto"/>
        <w:ind w:left="0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Apresento a V. Exa. Nos termos do Artigo 225 do Regimento Interno desta Casa, a presente INDICAÇÃO, ao Excelentíssimo Senhor Prefeito Municipal de Registro solicitando que sejam tomadas providências para adequação como Zona de Expansão Urbana, o aglomerado urbano conhecido como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“Bairro da Torre”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localizado entre a BR 116 e estrada municipal Registro –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Guaviruva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, com acesso a partir da referida estrada municipal.</w:t>
      </w:r>
    </w:p>
    <w:p w:rsidR="00A41FFF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150" w:line="360" w:lineRule="auto"/>
        <w:ind w:left="0" w:hanging="2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JUSTIFICATIVA</w:t>
      </w:r>
    </w:p>
    <w:p w:rsidR="00A41FFF" w:rsidRDefault="00000000" w:rsidP="002177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150" w:line="360" w:lineRule="auto"/>
        <w:ind w:left="-2" w:firstLineChars="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No Bairro da Torre, residem </w:t>
      </w:r>
      <w:r>
        <w:rPr>
          <w:rFonts w:ascii="Arial" w:eastAsia="Arial" w:hAnsi="Arial" w:cs="Arial"/>
          <w:sz w:val="24"/>
          <w:szCs w:val="24"/>
        </w:rPr>
        <w:t>11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famílias que, embora </w:t>
      </w:r>
      <w:r>
        <w:rPr>
          <w:rFonts w:ascii="Arial" w:eastAsia="Arial" w:hAnsi="Arial" w:cs="Arial"/>
          <w:sz w:val="24"/>
          <w:szCs w:val="24"/>
        </w:rPr>
        <w:t>habitem a região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há mais de duas décadas, </w:t>
      </w:r>
      <w:r>
        <w:rPr>
          <w:rFonts w:ascii="Arial" w:eastAsia="Arial" w:hAnsi="Arial" w:cs="Arial"/>
          <w:sz w:val="24"/>
          <w:szCs w:val="24"/>
        </w:rPr>
        <w:t>não têm acesso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 serviços públicos como correios, coleta de lixo, </w:t>
      </w:r>
      <w:r>
        <w:rPr>
          <w:rFonts w:ascii="Arial" w:eastAsia="Arial" w:hAnsi="Arial" w:cs="Arial"/>
          <w:sz w:val="24"/>
          <w:szCs w:val="24"/>
        </w:rPr>
        <w:t>manutenção da estrada de acesso,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rede pública de abastecimento de água ou de esgotamento.</w:t>
      </w:r>
    </w:p>
    <w:p w:rsidR="00A41FFF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150" w:line="360" w:lineRule="auto"/>
        <w:ind w:left="0"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 fato é que o bairro ainda não está integralizado como Zona de Expansão Urbana, nos termos do</w:t>
      </w: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 Item 7, do inciso I, do artigo 4º, da </w:t>
      </w:r>
      <w:hyperlink r:id="rId8">
        <w:r>
          <w:rPr>
            <w:rFonts w:ascii="Arial" w:eastAsia="Arial" w:hAnsi="Arial" w:cs="Arial"/>
            <w:b/>
            <w:color w:val="A28329"/>
            <w:sz w:val="24"/>
            <w:szCs w:val="24"/>
            <w:highlight w:val="white"/>
            <w:u w:val="single"/>
          </w:rPr>
          <w:t>LEI ORGÂNICA</w:t>
        </w:r>
      </w:hyperlink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 DO MUNICÍPIO DE REGISTRO e Leis Complementares Nº </w:t>
      </w:r>
      <w:hyperlink r:id="rId9">
        <w:r>
          <w:rPr>
            <w:rFonts w:ascii="Arial" w:eastAsia="Arial" w:hAnsi="Arial" w:cs="Arial"/>
            <w:b/>
            <w:color w:val="A28329"/>
            <w:sz w:val="24"/>
            <w:szCs w:val="24"/>
            <w:highlight w:val="white"/>
            <w:u w:val="single"/>
          </w:rPr>
          <w:t>40</w:t>
        </w:r>
      </w:hyperlink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/2008 e Nº </w:t>
      </w:r>
      <w:hyperlink r:id="rId10">
        <w:r>
          <w:rPr>
            <w:rFonts w:ascii="Arial" w:eastAsia="Arial" w:hAnsi="Arial" w:cs="Arial"/>
            <w:b/>
            <w:color w:val="A28329"/>
            <w:sz w:val="24"/>
            <w:szCs w:val="24"/>
            <w:highlight w:val="white"/>
            <w:u w:val="single"/>
          </w:rPr>
          <w:t>41</w:t>
        </w:r>
      </w:hyperlink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/2008;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como constatou se no Departamento Geral de Planejamento Urbano e Obras desta Prefeitura</w:t>
      </w:r>
      <w:r>
        <w:rPr>
          <w:rFonts w:ascii="Arial" w:eastAsia="Arial" w:hAnsi="Arial" w:cs="Arial"/>
          <w:sz w:val="24"/>
          <w:szCs w:val="24"/>
        </w:rPr>
        <w:t>.</w:t>
      </w:r>
    </w:p>
    <w:p w:rsidR="00A41FFF" w:rsidRPr="00217766" w:rsidRDefault="00000000" w:rsidP="00217766">
      <w:pPr>
        <w:spacing w:line="36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Apresento a presente Indicação no cumprimento de uma das funções parlamentares que é a de “representação” das demandas dos munícipes e fiscalização dos serviços públicos municipais objetivando a melhora da prestação dos mesmos e a garantia de participação da cidadania no planejamento da cidade, a partir de solicitações diretas, concretas e objetivas. </w:t>
      </w:r>
    </w:p>
    <w:p w:rsidR="00A41FFF" w:rsidRDefault="00000000">
      <w:pPr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  <w:sz w:val="24"/>
          <w:szCs w:val="24"/>
        </w:rPr>
        <w:t>Plenário “Vereador Daniel das Neves”, 30 de janeiro de 2023.</w:t>
      </w:r>
    </w:p>
    <w:p w:rsidR="00A41FFF" w:rsidRDefault="00A41FFF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217766" w:rsidRDefault="00217766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A41FFF" w:rsidRDefault="00A41FFF">
      <w:pPr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A41FFF" w:rsidRDefault="00000000">
      <w:pPr>
        <w:ind w:left="0" w:hanging="2"/>
        <w:jc w:val="center"/>
      </w:pPr>
      <w:r>
        <w:rPr>
          <w:rFonts w:ascii="Arial" w:eastAsia="Arial" w:hAnsi="Arial" w:cs="Arial"/>
          <w:b/>
          <w:color w:val="000000"/>
          <w:sz w:val="24"/>
          <w:szCs w:val="24"/>
        </w:rPr>
        <w:t>Sandra Kennedy Viana</w:t>
      </w:r>
    </w:p>
    <w:p w:rsidR="00A41FFF" w:rsidRDefault="00000000">
      <w:pPr>
        <w:ind w:left="0" w:hanging="2"/>
        <w:jc w:val="center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Vereadora   </w:t>
      </w:r>
    </w:p>
    <w:p w:rsidR="00A41FFF" w:rsidRDefault="00A41FFF">
      <w:pPr>
        <w:ind w:left="0" w:hanging="2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A41FFF" w:rsidRPr="00217766" w:rsidRDefault="00A41FFF">
      <w:pPr>
        <w:ind w:left="0" w:hanging="2"/>
        <w:jc w:val="right"/>
        <w:rPr>
          <w:rFonts w:ascii="Arial" w:eastAsia="Arial" w:hAnsi="Arial" w:cs="Arial"/>
          <w:color w:val="FFFFFF" w:themeColor="background1"/>
          <w:sz w:val="24"/>
          <w:szCs w:val="24"/>
        </w:rPr>
      </w:pPr>
    </w:p>
    <w:p w:rsidR="00A41FFF" w:rsidRPr="00217766" w:rsidRDefault="00000000">
      <w:pPr>
        <w:ind w:left="0" w:hanging="2"/>
        <w:jc w:val="right"/>
        <w:rPr>
          <w:rFonts w:ascii="Arial" w:eastAsia="Arial" w:hAnsi="Arial" w:cs="Arial"/>
          <w:color w:val="FFFFFF" w:themeColor="background1"/>
          <w:sz w:val="24"/>
          <w:szCs w:val="24"/>
        </w:rPr>
      </w:pPr>
      <w:r w:rsidRPr="00217766">
        <w:rPr>
          <w:rFonts w:ascii="Arial" w:eastAsia="Arial" w:hAnsi="Arial" w:cs="Arial"/>
          <w:b/>
          <w:color w:val="FFFFFF" w:themeColor="background1"/>
          <w:sz w:val="24"/>
          <w:szCs w:val="24"/>
        </w:rPr>
        <w:t>PROTOCOLO N</w:t>
      </w:r>
      <w:proofErr w:type="gramStart"/>
      <w:r w:rsidRPr="00217766">
        <w:rPr>
          <w:rFonts w:ascii="Arial" w:eastAsia="Arial" w:hAnsi="Arial" w:cs="Arial"/>
          <w:b/>
          <w:color w:val="FFFFFF" w:themeColor="background1"/>
          <w:sz w:val="24"/>
          <w:szCs w:val="24"/>
        </w:rPr>
        <w:t>°  /</w:t>
      </w:r>
      <w:proofErr w:type="gramEnd"/>
      <w:r w:rsidRPr="00217766">
        <w:rPr>
          <w:rFonts w:ascii="Arial" w:eastAsia="Arial" w:hAnsi="Arial" w:cs="Arial"/>
          <w:b/>
          <w:color w:val="FFFFFF" w:themeColor="background1"/>
          <w:sz w:val="24"/>
          <w:szCs w:val="24"/>
        </w:rPr>
        <w:t>2023</w:t>
      </w:r>
    </w:p>
    <w:p w:rsidR="00A41FFF" w:rsidRDefault="00A41FFF">
      <w:pPr>
        <w:ind w:left="0" w:hanging="2"/>
        <w:rPr>
          <w:rFonts w:ascii="Arial" w:eastAsia="Arial" w:hAnsi="Arial" w:cs="Arial"/>
          <w:color w:val="000000"/>
          <w:sz w:val="24"/>
          <w:szCs w:val="24"/>
        </w:rPr>
      </w:pPr>
    </w:p>
    <w:p w:rsidR="00A41FFF" w:rsidRDefault="00A41FFF">
      <w:pPr>
        <w:ind w:left="0" w:hanging="2"/>
        <w:jc w:val="right"/>
      </w:pPr>
    </w:p>
    <w:sectPr w:rsidR="00A41FFF">
      <w:headerReference w:type="default" r:id="rId11"/>
      <w:pgSz w:w="11906" w:h="16838"/>
      <w:pgMar w:top="2268" w:right="1134" w:bottom="1134" w:left="1134" w:header="425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25BB0" w:rsidRDefault="00F25BB0">
      <w:pPr>
        <w:spacing w:line="240" w:lineRule="auto"/>
        <w:ind w:left="0" w:hanging="2"/>
      </w:pPr>
      <w:r>
        <w:separator/>
      </w:r>
    </w:p>
  </w:endnote>
  <w:endnote w:type="continuationSeparator" w:id="0">
    <w:p w:rsidR="00F25BB0" w:rsidRDefault="00F25BB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25BB0" w:rsidRDefault="00F25BB0">
      <w:pPr>
        <w:spacing w:line="240" w:lineRule="auto"/>
        <w:ind w:left="0" w:hanging="2"/>
      </w:pPr>
      <w:r>
        <w:separator/>
      </w:r>
    </w:p>
  </w:footnote>
  <w:footnote w:type="continuationSeparator" w:id="0">
    <w:p w:rsidR="00F25BB0" w:rsidRDefault="00F25BB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1FFF" w:rsidRDefault="00000000">
    <w:pPr>
      <w:keepNext/>
      <w:ind w:left="2" w:hanging="4"/>
      <w:jc w:val="center"/>
    </w:pPr>
    <w:r>
      <w:rPr>
        <w:rFonts w:ascii="Georgia" w:eastAsia="Georgia" w:hAnsi="Georgia" w:cs="Georgia"/>
        <w:b/>
        <w:smallCaps/>
        <w:sz w:val="40"/>
        <w:szCs w:val="40"/>
      </w:rPr>
      <w:t>CÂMARA MUNICIPAL DE REGISTRO</w: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-142239</wp:posOffset>
          </wp:positionH>
          <wp:positionV relativeFrom="paragraph">
            <wp:posOffset>-17779</wp:posOffset>
          </wp:positionV>
          <wp:extent cx="1092835" cy="114236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21" t="-19" r="-21" b="-19"/>
                  <a:stretch>
                    <a:fillRect/>
                  </a:stretch>
                </pic:blipFill>
                <pic:spPr>
                  <a:xfrm>
                    <a:off x="0" y="0"/>
                    <a:ext cx="1092835" cy="1142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41FFF" w:rsidRDefault="00000000">
    <w:pPr>
      <w:keepNext/>
      <w:ind w:left="0" w:hanging="2"/>
      <w:jc w:val="center"/>
    </w:pPr>
    <w:r>
      <w:rPr>
        <w:rFonts w:ascii="Georgia" w:eastAsia="Georgia" w:hAnsi="Georgia" w:cs="Georgia"/>
        <w:b/>
        <w:smallCaps/>
      </w:rPr>
      <w:t>“VEREADOR DANIEL AGUILAR DE SOUZA”</w:t>
    </w:r>
  </w:p>
  <w:p w:rsidR="00A41FFF" w:rsidRDefault="00000000">
    <w:pPr>
      <w:keepNext/>
      <w:ind w:left="0" w:hanging="2"/>
      <w:jc w:val="center"/>
    </w:pPr>
    <w:r>
      <w:rPr>
        <w:rFonts w:ascii="Georgia" w:eastAsia="Georgia" w:hAnsi="Georgia" w:cs="Georgia"/>
        <w:sz w:val="18"/>
        <w:szCs w:val="18"/>
      </w:rPr>
      <w:t xml:space="preserve">Rua </w:t>
    </w:r>
    <w:proofErr w:type="spellStart"/>
    <w:r>
      <w:rPr>
        <w:rFonts w:ascii="Georgia" w:eastAsia="Georgia" w:hAnsi="Georgia" w:cs="Georgia"/>
        <w:sz w:val="18"/>
        <w:szCs w:val="18"/>
      </w:rPr>
      <w:t>Shitiro</w:t>
    </w:r>
    <w:proofErr w:type="spellEnd"/>
    <w:r>
      <w:rPr>
        <w:rFonts w:ascii="Georgia" w:eastAsia="Georgia" w:hAnsi="Georgia" w:cs="Georgia"/>
        <w:sz w:val="18"/>
        <w:szCs w:val="18"/>
      </w:rPr>
      <w:t xml:space="preserve"> </w:t>
    </w:r>
    <w:proofErr w:type="spellStart"/>
    <w:r>
      <w:rPr>
        <w:rFonts w:ascii="Georgia" w:eastAsia="Georgia" w:hAnsi="Georgia" w:cs="Georgia"/>
        <w:sz w:val="18"/>
        <w:szCs w:val="18"/>
      </w:rPr>
      <w:t>Maeji</w:t>
    </w:r>
    <w:proofErr w:type="spellEnd"/>
    <w:r>
      <w:rPr>
        <w:rFonts w:ascii="Georgia" w:eastAsia="Georgia" w:hAnsi="Georgia" w:cs="Georgia"/>
        <w:sz w:val="18"/>
        <w:szCs w:val="18"/>
      </w:rPr>
      <w:t xml:space="preserve">, 459 - Centro </w:t>
    </w:r>
    <w:proofErr w:type="gramStart"/>
    <w:r>
      <w:rPr>
        <w:rFonts w:ascii="Georgia" w:eastAsia="Georgia" w:hAnsi="Georgia" w:cs="Georgia"/>
        <w:sz w:val="18"/>
        <w:szCs w:val="18"/>
      </w:rPr>
      <w:t>-  Registro</w:t>
    </w:r>
    <w:proofErr w:type="gramEnd"/>
    <w:r>
      <w:rPr>
        <w:rFonts w:ascii="Georgia" w:eastAsia="Georgia" w:hAnsi="Georgia" w:cs="Georgia"/>
        <w:sz w:val="18"/>
        <w:szCs w:val="18"/>
      </w:rPr>
      <w:t xml:space="preserve"> (SP) - CEP: 11.900-000</w:t>
    </w:r>
  </w:p>
  <w:p w:rsidR="00A41FFF" w:rsidRDefault="00000000">
    <w:pPr>
      <w:keepNext/>
      <w:ind w:left="0" w:hanging="2"/>
      <w:jc w:val="center"/>
    </w:pPr>
    <w:r>
      <w:rPr>
        <w:rFonts w:ascii="Georgia" w:eastAsia="Georgia" w:hAnsi="Georgia" w:cs="Georgia"/>
        <w:sz w:val="18"/>
        <w:szCs w:val="18"/>
      </w:rPr>
      <w:t xml:space="preserve"> TEL / </w:t>
    </w:r>
    <w:proofErr w:type="gramStart"/>
    <w:r>
      <w:rPr>
        <w:rFonts w:ascii="Georgia" w:eastAsia="Georgia" w:hAnsi="Georgia" w:cs="Georgia"/>
        <w:sz w:val="18"/>
        <w:szCs w:val="18"/>
      </w:rPr>
      <w:t>FAX  (</w:t>
    </w:r>
    <w:proofErr w:type="gramEnd"/>
    <w:r>
      <w:rPr>
        <w:rFonts w:ascii="Georgia" w:eastAsia="Georgia" w:hAnsi="Georgia" w:cs="Georgia"/>
        <w:sz w:val="18"/>
        <w:szCs w:val="18"/>
      </w:rPr>
      <w:t xml:space="preserve"> 013 )  3828-1100</w:t>
    </w:r>
  </w:p>
  <w:p w:rsidR="00A41FFF" w:rsidRDefault="00000000">
    <w:pPr>
      <w:ind w:left="0" w:hanging="2"/>
      <w:jc w:val="center"/>
      <w:rPr>
        <w:rFonts w:ascii="Georgia" w:eastAsia="Georgia" w:hAnsi="Georgia" w:cs="Georgia"/>
        <w:sz w:val="24"/>
        <w:szCs w:val="24"/>
      </w:rPr>
    </w:pPr>
    <w:hyperlink r:id="rId2">
      <w:r>
        <w:rPr>
          <w:rFonts w:ascii="Georgia" w:eastAsia="Georgia" w:hAnsi="Georgia" w:cs="Georgia"/>
          <w:color w:val="000000"/>
          <w:sz w:val="18"/>
          <w:szCs w:val="18"/>
          <w:u w:val="single"/>
        </w:rPr>
        <w:t>www.registro.sp.leg.br</w:t>
      </w:r>
    </w:hyperlink>
  </w:p>
  <w:p w:rsidR="00A41FFF" w:rsidRDefault="00A41F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Georgia" w:eastAsia="Georgia" w:hAnsi="Georgia" w:cs="Georgia"/>
        <w:color w:val="000000"/>
        <w:sz w:val="24"/>
        <w:szCs w:val="24"/>
      </w:rPr>
    </w:pPr>
  </w:p>
  <w:p w:rsidR="00A41FFF" w:rsidRDefault="00A41F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  <w:sz w:val="24"/>
        <w:szCs w:val="24"/>
      </w:rPr>
    </w:pPr>
  </w:p>
  <w:p w:rsidR="00A41FFF" w:rsidRDefault="00A41F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13430"/>
    <w:multiLevelType w:val="multilevel"/>
    <w:tmpl w:val="98F6A98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27458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FFF"/>
    <w:rsid w:val="00217766"/>
    <w:rsid w:val="00A41FFF"/>
    <w:rsid w:val="00F2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8D5CA"/>
  <w15:docId w15:val="{93260D8E-D192-4614-9D14-EF79FF84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ind w:left="-1" w:hanging="1"/>
      <w:jc w:val="center"/>
    </w:pPr>
    <w:rPr>
      <w:b/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ind w:left="-1" w:hanging="1"/>
      <w:outlineLvl w:val="1"/>
    </w:pPr>
    <w:rPr>
      <w:caps/>
      <w:sz w:val="4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ind w:left="-1" w:hanging="1"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ind w:left="-1" w:hanging="1"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abealhoChar">
    <w:name w:val="Cabeçalho Char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RodapChar">
    <w:name w:val="Rodapé Char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2Char">
    <w:name w:val="Título 2 Char"/>
    <w:rPr>
      <w:caps/>
      <w:w w:val="100"/>
      <w:position w:val="-1"/>
      <w:sz w:val="48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b/>
      <w:bCs/>
      <w:caps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Ttulo4Char">
    <w:name w:val="Título 4 Char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CorpodetextoChar">
    <w:name w:val="Corpo de texto Char"/>
    <w:rPr>
      <w:rFonts w:ascii="Liberation Serif" w:eastAsia="NSimSun" w:hAnsi="Liberation Serif" w:cs="Lucida Sans"/>
      <w:w w:val="100"/>
      <w:kern w:val="2"/>
      <w:position w:val="-1"/>
      <w:sz w:val="24"/>
      <w:szCs w:val="24"/>
      <w:effect w:val="none"/>
      <w:vertAlign w:val="baseline"/>
      <w:cs w:val="0"/>
      <w:em w:val="none"/>
      <w:lang w:eastAsia="zh-CN" w:bidi="hi-IN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overflowPunct w:val="0"/>
      <w:spacing w:after="140" w:line="276" w:lineRule="auto"/>
    </w:pPr>
    <w:rPr>
      <w:rFonts w:ascii="Liberation Serif" w:eastAsia="NSimSun" w:hAnsi="Liberation Serif" w:cs="Lucida Sans"/>
      <w:kern w:val="2"/>
      <w:sz w:val="24"/>
      <w:szCs w:val="24"/>
      <w:lang w:bidi="hi-IN"/>
    </w:r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lang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pPr>
      <w:ind w:left="2835" w:firstLine="0"/>
    </w:pPr>
    <w:rPr>
      <w:rFonts w:ascii="Arial" w:hAnsi="Arial" w:cs="Arial"/>
      <w:sz w:val="24"/>
      <w:szCs w:val="24"/>
    </w:rPr>
  </w:style>
  <w:style w:type="paragraph" w:styleId="Remetente">
    <w:name w:val="envelope return"/>
    <w:basedOn w:val="Normal"/>
    <w:rPr>
      <w:rFonts w:ascii="Arial" w:hAnsi="Arial" w:cs="Ari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identifica">
    <w:name w:val="identifica"/>
    <w:basedOn w:val="Normal"/>
    <w:pPr>
      <w:suppressAutoHyphens/>
      <w:spacing w:before="100" w:beforeAutospacing="1" w:after="100" w:afterAutospacing="1"/>
    </w:pPr>
    <w:rPr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1/lei-organica-registro-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eismunicipais.com.br/a1/sp/r/registro/lei-complementar/2008/4/41/lei-complementar-n-41-2008-dispoe-sobre-o-parcelamento-do-solo-urbano-no-municipio-de-registr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ismunicipais.com.br/a1/sp/r/registro/lei-complementar/2008/4/40/lei-complementar-n-40-2008-dispoe-sobre-a-instituicao-do-plano-diretor-municipal-e-estabelece-as-diretrizes-e-proposicoes-de-desenvolvimento-no-municipio-de-regist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istro.sp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uM7Ne7C4Z82zQCeMdbv1txgo5sw==">AMUW2mUxrUO0hRBfC8jICaeUgdT26H6Y2g9sRsEekBP6nQKAp+w3H8mudoSnSlsLXmdqCC8o39JSbvgDa9zEdQ7iu/iUvTnB5+lCuGQMaXlDYOlNxFryx6Y=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REGINA</cp:lastModifiedBy>
  <cp:revision>2</cp:revision>
  <cp:lastPrinted>2023-02-01T17:24:00Z</cp:lastPrinted>
  <dcterms:created xsi:type="dcterms:W3CDTF">2023-02-01T17:24:00Z</dcterms:created>
  <dcterms:modified xsi:type="dcterms:W3CDTF">2023-02-01T17:24:00Z</dcterms:modified>
</cp:coreProperties>
</file>